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1958D" w14:textId="77777777" w:rsidR="006F7996" w:rsidRPr="001A6BB9" w:rsidRDefault="006F7996" w:rsidP="006F7996">
      <w:pPr>
        <w:shd w:val="clear" w:color="auto" w:fill="FFFFFF"/>
        <w:jc w:val="center"/>
        <w:rPr>
          <w:color w:val="000000" w:themeColor="text1"/>
        </w:rPr>
      </w:pPr>
    </w:p>
    <w:p w14:paraId="73730368" w14:textId="77777777" w:rsidR="006F7996" w:rsidRPr="001A6BB9" w:rsidRDefault="006F7996" w:rsidP="006F7996">
      <w:pPr>
        <w:shd w:val="clear" w:color="auto" w:fill="FFFFFF"/>
        <w:jc w:val="center"/>
        <w:rPr>
          <w:color w:val="000000" w:themeColor="text1"/>
        </w:rPr>
      </w:pPr>
    </w:p>
    <w:p w14:paraId="1E56AE09" w14:textId="77777777" w:rsidR="006F7996" w:rsidRPr="001A6BB9" w:rsidRDefault="006F7996" w:rsidP="006F7996">
      <w:pPr>
        <w:shd w:val="clear" w:color="auto" w:fill="FFFFFF"/>
        <w:jc w:val="center"/>
        <w:rPr>
          <w:color w:val="000000" w:themeColor="text1"/>
        </w:rPr>
      </w:pPr>
    </w:p>
    <w:p w14:paraId="7E5F4F7B" w14:textId="77777777" w:rsidR="006F7996" w:rsidRPr="001A6BB9" w:rsidRDefault="006F7996" w:rsidP="006F7996">
      <w:pPr>
        <w:shd w:val="clear" w:color="auto" w:fill="FFFFFF"/>
        <w:jc w:val="center"/>
        <w:rPr>
          <w:color w:val="000000" w:themeColor="text1"/>
        </w:rPr>
      </w:pPr>
    </w:p>
    <w:p w14:paraId="29791513" w14:textId="77777777" w:rsidR="006F7996" w:rsidRPr="001A6BB9" w:rsidRDefault="006F7996" w:rsidP="006F7996">
      <w:pPr>
        <w:shd w:val="clear" w:color="auto" w:fill="FFFFFF"/>
        <w:jc w:val="center"/>
        <w:rPr>
          <w:color w:val="000000" w:themeColor="text1"/>
        </w:rPr>
      </w:pPr>
    </w:p>
    <w:p w14:paraId="252A4941" w14:textId="77777777" w:rsidR="006F7996" w:rsidRPr="001A6BB9" w:rsidRDefault="006F7996" w:rsidP="006F7996">
      <w:pPr>
        <w:shd w:val="clear" w:color="auto" w:fill="FFFFFF"/>
        <w:jc w:val="center"/>
        <w:rPr>
          <w:color w:val="000000" w:themeColor="text1"/>
        </w:rPr>
      </w:pPr>
      <w:r w:rsidRPr="001A6BB9">
        <w:rPr>
          <w:color w:val="000000" w:themeColor="text1"/>
        </w:rPr>
        <w:t>DES JUPES ET DES HOMMES : UNE ANALYSE DE LA CULTURE DU VIOL DANS LES ÉCOLES SECONDAIRES PUBLIQUES DU QUÉBEC</w:t>
      </w:r>
    </w:p>
    <w:p w14:paraId="624903CD" w14:textId="77777777" w:rsidR="006F7996" w:rsidRPr="001A6BB9" w:rsidRDefault="006F7996" w:rsidP="006F7996">
      <w:pPr>
        <w:shd w:val="clear" w:color="auto" w:fill="FFFFFF"/>
        <w:jc w:val="center"/>
        <w:rPr>
          <w:color w:val="000000" w:themeColor="text1"/>
        </w:rPr>
      </w:pPr>
    </w:p>
    <w:p w14:paraId="2623AA5D" w14:textId="77777777" w:rsidR="006F7996" w:rsidRPr="001A6BB9" w:rsidRDefault="006F7996" w:rsidP="006F7996">
      <w:pPr>
        <w:shd w:val="clear" w:color="auto" w:fill="FFFFFF"/>
        <w:jc w:val="center"/>
        <w:rPr>
          <w:color w:val="000000" w:themeColor="text1"/>
        </w:rPr>
      </w:pPr>
    </w:p>
    <w:p w14:paraId="414B71ED" w14:textId="77777777" w:rsidR="006F7996" w:rsidRPr="001A6BB9" w:rsidRDefault="006F7996" w:rsidP="006F7996">
      <w:pPr>
        <w:shd w:val="clear" w:color="auto" w:fill="FFFFFF"/>
        <w:jc w:val="center"/>
        <w:rPr>
          <w:color w:val="000000" w:themeColor="text1"/>
        </w:rPr>
      </w:pPr>
    </w:p>
    <w:p w14:paraId="065E5729" w14:textId="77777777" w:rsidR="006F7996" w:rsidRPr="001A6BB9" w:rsidRDefault="006F7996" w:rsidP="006F7996">
      <w:pPr>
        <w:shd w:val="clear" w:color="auto" w:fill="FFFFFF"/>
        <w:jc w:val="center"/>
        <w:rPr>
          <w:color w:val="000000" w:themeColor="text1"/>
        </w:rPr>
      </w:pPr>
    </w:p>
    <w:p w14:paraId="6C426D00" w14:textId="77777777" w:rsidR="006F7996" w:rsidRPr="001A6BB9" w:rsidRDefault="006F7996" w:rsidP="006F7996">
      <w:pPr>
        <w:shd w:val="clear" w:color="auto" w:fill="FFFFFF"/>
        <w:rPr>
          <w:color w:val="000000" w:themeColor="text1"/>
        </w:rPr>
      </w:pPr>
      <w:r w:rsidRPr="001A6BB9">
        <w:rPr>
          <w:color w:val="000000" w:themeColor="text1"/>
        </w:rPr>
        <w:br/>
      </w:r>
    </w:p>
    <w:p w14:paraId="4B5C802D" w14:textId="77777777" w:rsidR="006F7996" w:rsidRPr="001A6BB9" w:rsidRDefault="006F7996" w:rsidP="006F7996">
      <w:pPr>
        <w:shd w:val="clear" w:color="auto" w:fill="FFFFFF"/>
        <w:jc w:val="center"/>
        <w:rPr>
          <w:color w:val="000000" w:themeColor="text1"/>
        </w:rPr>
      </w:pPr>
      <w:r w:rsidRPr="001A6BB9">
        <w:rPr>
          <w:color w:val="000000" w:themeColor="text1"/>
        </w:rPr>
        <w:t>PAR</w:t>
      </w:r>
    </w:p>
    <w:p w14:paraId="36AE1CD5" w14:textId="77777777" w:rsidR="006F7996" w:rsidRPr="001A6BB9" w:rsidRDefault="006F7996" w:rsidP="006F7996">
      <w:pPr>
        <w:shd w:val="clear" w:color="auto" w:fill="FFFFFF"/>
        <w:jc w:val="center"/>
        <w:rPr>
          <w:color w:val="000000" w:themeColor="text1"/>
        </w:rPr>
      </w:pPr>
      <w:r w:rsidRPr="001A6BB9">
        <w:rPr>
          <w:color w:val="000000" w:themeColor="text1"/>
        </w:rPr>
        <w:t>KARINE LAMY</w:t>
      </w:r>
    </w:p>
    <w:p w14:paraId="2AB92938" w14:textId="77777777" w:rsidR="006F7996" w:rsidRDefault="006F7996" w:rsidP="006F7996">
      <w:pPr>
        <w:shd w:val="clear" w:color="auto" w:fill="FFFFFF"/>
        <w:jc w:val="center"/>
        <w:rPr>
          <w:color w:val="000000" w:themeColor="text1"/>
        </w:rPr>
      </w:pPr>
    </w:p>
    <w:p w14:paraId="15C1F2E9" w14:textId="77777777" w:rsidR="00582C77" w:rsidRDefault="00582C77" w:rsidP="006F7996">
      <w:pPr>
        <w:shd w:val="clear" w:color="auto" w:fill="FFFFFF"/>
        <w:jc w:val="center"/>
        <w:rPr>
          <w:color w:val="000000" w:themeColor="text1"/>
        </w:rPr>
      </w:pPr>
    </w:p>
    <w:p w14:paraId="5E6FAE31" w14:textId="77777777" w:rsidR="00582C77" w:rsidRDefault="00582C77" w:rsidP="006F7996">
      <w:pPr>
        <w:shd w:val="clear" w:color="auto" w:fill="FFFFFF"/>
        <w:jc w:val="center"/>
        <w:rPr>
          <w:color w:val="000000" w:themeColor="text1"/>
        </w:rPr>
      </w:pPr>
    </w:p>
    <w:p w14:paraId="5FB82447" w14:textId="77777777" w:rsidR="00582C77" w:rsidRDefault="00582C77" w:rsidP="006F7996">
      <w:pPr>
        <w:shd w:val="clear" w:color="auto" w:fill="FFFFFF"/>
        <w:jc w:val="center"/>
        <w:rPr>
          <w:color w:val="000000" w:themeColor="text1"/>
        </w:rPr>
      </w:pPr>
    </w:p>
    <w:p w14:paraId="680FE6BE" w14:textId="77777777" w:rsidR="00582C77" w:rsidRDefault="00582C77" w:rsidP="006F7996">
      <w:pPr>
        <w:shd w:val="clear" w:color="auto" w:fill="FFFFFF"/>
        <w:jc w:val="center"/>
        <w:rPr>
          <w:color w:val="000000" w:themeColor="text1"/>
        </w:rPr>
      </w:pPr>
    </w:p>
    <w:p w14:paraId="29133406" w14:textId="77777777" w:rsidR="00582C77" w:rsidRDefault="00582C77" w:rsidP="006F7996">
      <w:pPr>
        <w:shd w:val="clear" w:color="auto" w:fill="FFFFFF"/>
        <w:jc w:val="center"/>
        <w:rPr>
          <w:color w:val="000000" w:themeColor="text1"/>
        </w:rPr>
      </w:pPr>
    </w:p>
    <w:p w14:paraId="31C7F3B7" w14:textId="77777777" w:rsidR="00582C77" w:rsidRDefault="00582C77" w:rsidP="006F7996">
      <w:pPr>
        <w:shd w:val="clear" w:color="auto" w:fill="FFFFFF"/>
        <w:jc w:val="center"/>
        <w:rPr>
          <w:color w:val="000000" w:themeColor="text1"/>
        </w:rPr>
      </w:pPr>
    </w:p>
    <w:p w14:paraId="7363E164" w14:textId="77777777" w:rsidR="00582C77" w:rsidRDefault="00582C77" w:rsidP="006F7996">
      <w:pPr>
        <w:shd w:val="clear" w:color="auto" w:fill="FFFFFF"/>
        <w:jc w:val="center"/>
        <w:rPr>
          <w:color w:val="000000" w:themeColor="text1"/>
        </w:rPr>
      </w:pPr>
    </w:p>
    <w:p w14:paraId="4FAFBA00" w14:textId="77777777" w:rsidR="00582C77" w:rsidRDefault="00582C77" w:rsidP="006F7996">
      <w:pPr>
        <w:shd w:val="clear" w:color="auto" w:fill="FFFFFF"/>
        <w:jc w:val="center"/>
        <w:rPr>
          <w:color w:val="000000" w:themeColor="text1"/>
        </w:rPr>
      </w:pPr>
    </w:p>
    <w:p w14:paraId="6A50492A" w14:textId="77777777" w:rsidR="00582C77" w:rsidRDefault="00582C77" w:rsidP="006F7996">
      <w:pPr>
        <w:shd w:val="clear" w:color="auto" w:fill="FFFFFF"/>
        <w:jc w:val="center"/>
        <w:rPr>
          <w:color w:val="000000" w:themeColor="text1"/>
        </w:rPr>
      </w:pPr>
    </w:p>
    <w:p w14:paraId="003A5E32" w14:textId="77777777" w:rsidR="00582C77" w:rsidRDefault="00582C77" w:rsidP="006F7996">
      <w:pPr>
        <w:shd w:val="clear" w:color="auto" w:fill="FFFFFF"/>
        <w:jc w:val="center"/>
        <w:rPr>
          <w:color w:val="000000" w:themeColor="text1"/>
        </w:rPr>
      </w:pPr>
    </w:p>
    <w:p w14:paraId="5773E654" w14:textId="77777777" w:rsidR="00582C77" w:rsidRDefault="00582C77" w:rsidP="006F7996">
      <w:pPr>
        <w:shd w:val="clear" w:color="auto" w:fill="FFFFFF"/>
        <w:jc w:val="center"/>
        <w:rPr>
          <w:color w:val="000000" w:themeColor="text1"/>
        </w:rPr>
      </w:pPr>
    </w:p>
    <w:p w14:paraId="11243F72" w14:textId="77777777" w:rsidR="00582C77" w:rsidRDefault="00582C77" w:rsidP="006F7996">
      <w:pPr>
        <w:shd w:val="clear" w:color="auto" w:fill="FFFFFF"/>
        <w:jc w:val="center"/>
        <w:rPr>
          <w:color w:val="000000" w:themeColor="text1"/>
        </w:rPr>
      </w:pPr>
    </w:p>
    <w:p w14:paraId="1B83662A" w14:textId="77777777" w:rsidR="00582C77" w:rsidRDefault="00582C77" w:rsidP="006F7996">
      <w:pPr>
        <w:shd w:val="clear" w:color="auto" w:fill="FFFFFF"/>
        <w:jc w:val="center"/>
        <w:rPr>
          <w:color w:val="000000" w:themeColor="text1"/>
        </w:rPr>
      </w:pPr>
    </w:p>
    <w:p w14:paraId="7AC06882" w14:textId="77777777" w:rsidR="00582C77" w:rsidRDefault="00582C77" w:rsidP="006F7996">
      <w:pPr>
        <w:shd w:val="clear" w:color="auto" w:fill="FFFFFF"/>
        <w:jc w:val="center"/>
        <w:rPr>
          <w:color w:val="000000" w:themeColor="text1"/>
        </w:rPr>
      </w:pPr>
    </w:p>
    <w:p w14:paraId="4B11A6A5" w14:textId="77777777" w:rsidR="00582C77" w:rsidRDefault="00582C77" w:rsidP="006F7996">
      <w:pPr>
        <w:shd w:val="clear" w:color="auto" w:fill="FFFFFF"/>
        <w:jc w:val="center"/>
        <w:rPr>
          <w:color w:val="000000" w:themeColor="text1"/>
        </w:rPr>
      </w:pPr>
    </w:p>
    <w:p w14:paraId="5F6E176B" w14:textId="77777777" w:rsidR="00582C77" w:rsidRDefault="00582C77" w:rsidP="006F7996">
      <w:pPr>
        <w:shd w:val="clear" w:color="auto" w:fill="FFFFFF"/>
        <w:jc w:val="center"/>
        <w:rPr>
          <w:color w:val="000000" w:themeColor="text1"/>
        </w:rPr>
      </w:pPr>
    </w:p>
    <w:p w14:paraId="20154D52" w14:textId="77777777" w:rsidR="00582C77" w:rsidRDefault="00582C77" w:rsidP="006F7996">
      <w:pPr>
        <w:shd w:val="clear" w:color="auto" w:fill="FFFFFF"/>
        <w:jc w:val="center"/>
        <w:rPr>
          <w:color w:val="000000" w:themeColor="text1"/>
        </w:rPr>
      </w:pPr>
    </w:p>
    <w:p w14:paraId="07A450DC" w14:textId="77777777" w:rsidR="00582C77" w:rsidRDefault="00582C77" w:rsidP="006F7996">
      <w:pPr>
        <w:shd w:val="clear" w:color="auto" w:fill="FFFFFF"/>
        <w:jc w:val="center"/>
        <w:rPr>
          <w:color w:val="000000" w:themeColor="text1"/>
        </w:rPr>
      </w:pPr>
    </w:p>
    <w:p w14:paraId="41B7C343" w14:textId="77777777" w:rsidR="00582C77" w:rsidRDefault="00582C77" w:rsidP="006F7996">
      <w:pPr>
        <w:shd w:val="clear" w:color="auto" w:fill="FFFFFF"/>
        <w:jc w:val="center"/>
        <w:rPr>
          <w:color w:val="000000" w:themeColor="text1"/>
        </w:rPr>
      </w:pPr>
    </w:p>
    <w:p w14:paraId="17483EBC" w14:textId="77777777" w:rsidR="00582C77" w:rsidRDefault="00582C77" w:rsidP="006F7996">
      <w:pPr>
        <w:shd w:val="clear" w:color="auto" w:fill="FFFFFF"/>
        <w:jc w:val="center"/>
        <w:rPr>
          <w:color w:val="000000" w:themeColor="text1"/>
        </w:rPr>
      </w:pPr>
    </w:p>
    <w:p w14:paraId="69DB6BC1" w14:textId="77777777" w:rsidR="00582C77" w:rsidRDefault="00582C77" w:rsidP="006F7996">
      <w:pPr>
        <w:shd w:val="clear" w:color="auto" w:fill="FFFFFF"/>
        <w:jc w:val="center"/>
        <w:rPr>
          <w:color w:val="000000" w:themeColor="text1"/>
        </w:rPr>
      </w:pPr>
    </w:p>
    <w:p w14:paraId="2079CCEE" w14:textId="77777777" w:rsidR="00582C77" w:rsidRDefault="00582C77" w:rsidP="006F7996">
      <w:pPr>
        <w:shd w:val="clear" w:color="auto" w:fill="FFFFFF"/>
        <w:jc w:val="center"/>
        <w:rPr>
          <w:color w:val="000000" w:themeColor="text1"/>
        </w:rPr>
      </w:pPr>
    </w:p>
    <w:p w14:paraId="4C545540" w14:textId="77777777" w:rsidR="00582C77" w:rsidRDefault="00582C77" w:rsidP="006F7996">
      <w:pPr>
        <w:shd w:val="clear" w:color="auto" w:fill="FFFFFF"/>
        <w:jc w:val="center"/>
        <w:rPr>
          <w:color w:val="000000" w:themeColor="text1"/>
        </w:rPr>
      </w:pPr>
    </w:p>
    <w:p w14:paraId="64707CF4" w14:textId="77777777" w:rsidR="00582C77" w:rsidRDefault="00582C77" w:rsidP="006F7996">
      <w:pPr>
        <w:shd w:val="clear" w:color="auto" w:fill="FFFFFF"/>
        <w:jc w:val="center"/>
        <w:rPr>
          <w:color w:val="000000" w:themeColor="text1"/>
        </w:rPr>
      </w:pPr>
    </w:p>
    <w:p w14:paraId="425228D1" w14:textId="77777777" w:rsidR="00582C77" w:rsidRDefault="00582C77" w:rsidP="006F7996">
      <w:pPr>
        <w:shd w:val="clear" w:color="auto" w:fill="FFFFFF"/>
        <w:jc w:val="center"/>
        <w:rPr>
          <w:color w:val="000000" w:themeColor="text1"/>
        </w:rPr>
      </w:pPr>
    </w:p>
    <w:p w14:paraId="6A45D8B4" w14:textId="77777777" w:rsidR="00582C77" w:rsidRPr="00582C77" w:rsidRDefault="00582C77" w:rsidP="00582C77">
      <w:pPr>
        <w:jc w:val="center"/>
        <w:rPr>
          <w:color w:val="000000"/>
          <w:sz w:val="28"/>
          <w:szCs w:val="28"/>
        </w:rPr>
      </w:pPr>
      <w:r w:rsidRPr="00582C77">
        <w:rPr>
          <w:color w:val="000000"/>
          <w:sz w:val="28"/>
          <w:szCs w:val="28"/>
        </w:rPr>
        <w:t>© Tout droit réservé, 2025</w:t>
      </w:r>
    </w:p>
    <w:p w14:paraId="17D857F3" w14:textId="77777777" w:rsidR="00582C77" w:rsidRPr="001A6BB9" w:rsidRDefault="00582C77" w:rsidP="006F7996">
      <w:pPr>
        <w:shd w:val="clear" w:color="auto" w:fill="FFFFFF"/>
        <w:jc w:val="center"/>
        <w:rPr>
          <w:color w:val="000000" w:themeColor="text1"/>
        </w:rPr>
      </w:pPr>
    </w:p>
    <w:p w14:paraId="1C6F0AFC" w14:textId="77777777" w:rsidR="006F7996" w:rsidRPr="001A6BB9" w:rsidRDefault="006F7996" w:rsidP="006F7996">
      <w:pPr>
        <w:shd w:val="clear" w:color="auto" w:fill="FFFFFF"/>
        <w:jc w:val="center"/>
        <w:rPr>
          <w:color w:val="000000" w:themeColor="text1"/>
        </w:rPr>
      </w:pPr>
    </w:p>
    <w:p w14:paraId="6B051D84" w14:textId="77777777" w:rsidR="006F7996" w:rsidRPr="001A6BB9" w:rsidRDefault="006F7996" w:rsidP="006F7996">
      <w:pPr>
        <w:shd w:val="clear" w:color="auto" w:fill="FFFFFF"/>
        <w:spacing w:line="360" w:lineRule="auto"/>
        <w:jc w:val="both"/>
        <w:rPr>
          <w:color w:val="000000" w:themeColor="text1"/>
        </w:rPr>
      </w:pPr>
    </w:p>
    <w:p w14:paraId="3E4A4518" w14:textId="77777777" w:rsidR="006F7996" w:rsidRPr="001A6BB9" w:rsidRDefault="006F7996" w:rsidP="006F7996">
      <w:pPr>
        <w:spacing w:line="360" w:lineRule="auto"/>
        <w:jc w:val="both"/>
        <w:rPr>
          <w:color w:val="000000" w:themeColor="text1"/>
        </w:rPr>
      </w:pPr>
    </w:p>
    <w:p w14:paraId="42497206" w14:textId="77777777" w:rsidR="006F7996" w:rsidRPr="001A6BB9" w:rsidRDefault="006F7996" w:rsidP="006F7996">
      <w:pPr>
        <w:spacing w:line="360" w:lineRule="auto"/>
        <w:jc w:val="both"/>
        <w:rPr>
          <w:color w:val="000000" w:themeColor="text1"/>
        </w:rPr>
      </w:pPr>
    </w:p>
    <w:p w14:paraId="16A834E3" w14:textId="77777777" w:rsidR="006F7996" w:rsidRPr="001A6BB9" w:rsidRDefault="006F7996" w:rsidP="006F7996">
      <w:pPr>
        <w:spacing w:line="360" w:lineRule="auto"/>
        <w:jc w:val="both"/>
        <w:rPr>
          <w:color w:val="000000" w:themeColor="text1"/>
        </w:rPr>
      </w:pPr>
    </w:p>
    <w:p w14:paraId="4E01A0BC" w14:textId="77777777" w:rsidR="006F7996" w:rsidRPr="001A6BB9" w:rsidRDefault="006F7996" w:rsidP="006F7996">
      <w:pPr>
        <w:spacing w:line="360" w:lineRule="auto"/>
        <w:jc w:val="both"/>
        <w:rPr>
          <w:color w:val="000000" w:themeColor="text1"/>
        </w:rPr>
      </w:pPr>
    </w:p>
    <w:p w14:paraId="2F8035F2" w14:textId="77777777" w:rsidR="006F7996" w:rsidRPr="001A6BB9" w:rsidRDefault="006F7996" w:rsidP="006F7996">
      <w:pPr>
        <w:spacing w:line="360" w:lineRule="auto"/>
        <w:jc w:val="right"/>
        <w:rPr>
          <w:color w:val="000000" w:themeColor="text1"/>
        </w:rPr>
      </w:pPr>
    </w:p>
    <w:p w14:paraId="64A26319" w14:textId="77777777" w:rsidR="006F7996" w:rsidRPr="001A6BB9" w:rsidRDefault="006F7996" w:rsidP="006F7996">
      <w:pPr>
        <w:spacing w:line="360" w:lineRule="auto"/>
        <w:jc w:val="right"/>
        <w:rPr>
          <w:color w:val="000000" w:themeColor="text1"/>
        </w:rPr>
      </w:pPr>
    </w:p>
    <w:p w14:paraId="44C09C49" w14:textId="77777777" w:rsidR="006F7996" w:rsidRPr="001A6BB9" w:rsidRDefault="006F7996" w:rsidP="006F7996">
      <w:pPr>
        <w:spacing w:line="360" w:lineRule="auto"/>
        <w:jc w:val="right"/>
        <w:rPr>
          <w:i/>
          <w:iCs/>
          <w:color w:val="000000" w:themeColor="text1"/>
        </w:rPr>
      </w:pPr>
    </w:p>
    <w:p w14:paraId="2C386D12" w14:textId="77777777" w:rsidR="006F7996" w:rsidRPr="001A6BB9" w:rsidRDefault="006F7996" w:rsidP="006F7996">
      <w:pPr>
        <w:spacing w:line="360" w:lineRule="auto"/>
        <w:jc w:val="right"/>
        <w:rPr>
          <w:i/>
          <w:iCs/>
          <w:color w:val="000000" w:themeColor="text1"/>
        </w:rPr>
      </w:pPr>
      <w:r w:rsidRPr="001A6BB9">
        <w:rPr>
          <w:i/>
          <w:iCs/>
          <w:color w:val="000000" w:themeColor="text1"/>
        </w:rPr>
        <w:t>Pour Florence, Alysson et toutes les filles du secondaire.</w:t>
      </w:r>
    </w:p>
    <w:p w14:paraId="0BBD0922" w14:textId="77777777" w:rsidR="006F7996" w:rsidRPr="001A6BB9" w:rsidRDefault="006F7996" w:rsidP="006F7996">
      <w:pPr>
        <w:spacing w:line="360" w:lineRule="auto"/>
        <w:jc w:val="both"/>
        <w:rPr>
          <w:color w:val="000000" w:themeColor="text1"/>
        </w:rPr>
      </w:pPr>
    </w:p>
    <w:p w14:paraId="6E141CAA" w14:textId="77777777" w:rsidR="006F7996" w:rsidRPr="001A6BB9" w:rsidRDefault="006F7996" w:rsidP="006F7996">
      <w:pPr>
        <w:spacing w:line="360" w:lineRule="auto"/>
        <w:jc w:val="both"/>
        <w:rPr>
          <w:color w:val="000000" w:themeColor="text1"/>
        </w:rPr>
      </w:pPr>
    </w:p>
    <w:p w14:paraId="149C9242" w14:textId="77777777" w:rsidR="006F7996" w:rsidRPr="001A6BB9" w:rsidRDefault="006F7996" w:rsidP="006F7996">
      <w:pPr>
        <w:spacing w:line="360" w:lineRule="auto"/>
        <w:jc w:val="both"/>
        <w:rPr>
          <w:color w:val="000000" w:themeColor="text1"/>
        </w:rPr>
      </w:pPr>
    </w:p>
    <w:p w14:paraId="55A3A20D" w14:textId="77777777" w:rsidR="006F7996" w:rsidRPr="001A6BB9" w:rsidRDefault="006F7996" w:rsidP="006F7996">
      <w:pPr>
        <w:spacing w:line="360" w:lineRule="auto"/>
        <w:jc w:val="both"/>
        <w:rPr>
          <w:color w:val="000000" w:themeColor="text1"/>
        </w:rPr>
      </w:pPr>
    </w:p>
    <w:p w14:paraId="018CAFC8" w14:textId="77777777" w:rsidR="006F7996" w:rsidRPr="001A6BB9" w:rsidRDefault="006F7996" w:rsidP="006F7996">
      <w:pPr>
        <w:spacing w:line="360" w:lineRule="auto"/>
        <w:jc w:val="both"/>
        <w:rPr>
          <w:color w:val="000000" w:themeColor="text1"/>
        </w:rPr>
      </w:pPr>
    </w:p>
    <w:p w14:paraId="0D404415" w14:textId="77777777" w:rsidR="006F7996" w:rsidRPr="001A6BB9" w:rsidRDefault="006F7996" w:rsidP="006F7996">
      <w:pPr>
        <w:spacing w:line="360" w:lineRule="auto"/>
        <w:jc w:val="both"/>
        <w:rPr>
          <w:color w:val="000000" w:themeColor="text1"/>
        </w:rPr>
      </w:pPr>
    </w:p>
    <w:p w14:paraId="7580847C" w14:textId="77777777" w:rsidR="006F7996" w:rsidRPr="001A6BB9" w:rsidRDefault="006F7996" w:rsidP="006F7996">
      <w:pPr>
        <w:spacing w:line="360" w:lineRule="auto"/>
        <w:jc w:val="both"/>
        <w:rPr>
          <w:color w:val="000000" w:themeColor="text1"/>
        </w:rPr>
      </w:pPr>
    </w:p>
    <w:p w14:paraId="5E6790DA" w14:textId="77777777" w:rsidR="006F7996" w:rsidRPr="001A6BB9" w:rsidRDefault="006F7996" w:rsidP="006F7996">
      <w:pPr>
        <w:spacing w:line="360" w:lineRule="auto"/>
        <w:jc w:val="both"/>
        <w:rPr>
          <w:color w:val="000000" w:themeColor="text1"/>
        </w:rPr>
      </w:pPr>
    </w:p>
    <w:p w14:paraId="462CF0C2" w14:textId="77777777" w:rsidR="006F7996" w:rsidRPr="001A6BB9" w:rsidRDefault="006F7996" w:rsidP="006F7996">
      <w:pPr>
        <w:spacing w:line="360" w:lineRule="auto"/>
        <w:jc w:val="both"/>
        <w:rPr>
          <w:color w:val="000000" w:themeColor="text1"/>
        </w:rPr>
      </w:pPr>
    </w:p>
    <w:p w14:paraId="451D1C17" w14:textId="77777777" w:rsidR="006F7996" w:rsidRPr="001A6BB9" w:rsidRDefault="006F7996" w:rsidP="006F7996">
      <w:pPr>
        <w:spacing w:line="360" w:lineRule="auto"/>
        <w:jc w:val="both"/>
        <w:rPr>
          <w:color w:val="000000" w:themeColor="text1"/>
        </w:rPr>
      </w:pPr>
    </w:p>
    <w:p w14:paraId="08CB817D" w14:textId="77777777" w:rsidR="006F7996" w:rsidRPr="001A6BB9" w:rsidRDefault="006F7996" w:rsidP="006F7996">
      <w:pPr>
        <w:spacing w:line="360" w:lineRule="auto"/>
        <w:jc w:val="both"/>
        <w:rPr>
          <w:color w:val="000000" w:themeColor="text1"/>
        </w:rPr>
      </w:pPr>
    </w:p>
    <w:p w14:paraId="023357CE" w14:textId="77777777" w:rsidR="006F7996" w:rsidRPr="001A6BB9" w:rsidRDefault="006F7996" w:rsidP="006F7996">
      <w:pPr>
        <w:spacing w:line="360" w:lineRule="auto"/>
        <w:jc w:val="both"/>
        <w:rPr>
          <w:color w:val="000000" w:themeColor="text1"/>
        </w:rPr>
      </w:pPr>
    </w:p>
    <w:p w14:paraId="06BC2094" w14:textId="77777777" w:rsidR="006F7996" w:rsidRPr="001A6BB9" w:rsidRDefault="006F7996" w:rsidP="006F7996">
      <w:pPr>
        <w:spacing w:line="360" w:lineRule="auto"/>
        <w:jc w:val="both"/>
        <w:rPr>
          <w:color w:val="000000" w:themeColor="text1"/>
        </w:rPr>
      </w:pPr>
    </w:p>
    <w:p w14:paraId="7A3A7DB8" w14:textId="77777777" w:rsidR="006F7996" w:rsidRPr="001A6BB9" w:rsidRDefault="006F7996" w:rsidP="006F7996">
      <w:pPr>
        <w:spacing w:line="360" w:lineRule="auto"/>
        <w:jc w:val="both"/>
        <w:rPr>
          <w:color w:val="000000" w:themeColor="text1"/>
        </w:rPr>
      </w:pPr>
    </w:p>
    <w:p w14:paraId="30F5F645" w14:textId="77777777" w:rsidR="006F7996" w:rsidRPr="001A6BB9" w:rsidRDefault="006F7996" w:rsidP="006F7996">
      <w:pPr>
        <w:spacing w:line="360" w:lineRule="auto"/>
        <w:jc w:val="both"/>
        <w:rPr>
          <w:color w:val="000000" w:themeColor="text1"/>
        </w:rPr>
      </w:pPr>
    </w:p>
    <w:p w14:paraId="66F577FA" w14:textId="77777777" w:rsidR="006F7996" w:rsidRPr="001A6BB9" w:rsidRDefault="006F7996" w:rsidP="006F7996">
      <w:pPr>
        <w:spacing w:line="360" w:lineRule="auto"/>
        <w:jc w:val="both"/>
        <w:rPr>
          <w:color w:val="000000" w:themeColor="text1"/>
        </w:rPr>
      </w:pPr>
    </w:p>
    <w:p w14:paraId="72089386" w14:textId="77777777" w:rsidR="006F7996" w:rsidRPr="001A6BB9" w:rsidRDefault="006F7996" w:rsidP="006F7996">
      <w:pPr>
        <w:spacing w:line="360" w:lineRule="auto"/>
        <w:jc w:val="both"/>
        <w:rPr>
          <w:color w:val="000000" w:themeColor="text1"/>
        </w:rPr>
      </w:pPr>
    </w:p>
    <w:p w14:paraId="4E10767D" w14:textId="77777777" w:rsidR="006F7996" w:rsidRPr="001A6BB9" w:rsidRDefault="006F7996" w:rsidP="006F7996">
      <w:pPr>
        <w:spacing w:line="360" w:lineRule="auto"/>
        <w:jc w:val="both"/>
        <w:rPr>
          <w:color w:val="000000" w:themeColor="text1"/>
        </w:rPr>
      </w:pPr>
    </w:p>
    <w:p w14:paraId="689E6828" w14:textId="77777777" w:rsidR="006F7996" w:rsidRPr="001A6BB9" w:rsidRDefault="006F7996" w:rsidP="006F7996">
      <w:pPr>
        <w:spacing w:line="360" w:lineRule="auto"/>
        <w:jc w:val="both"/>
        <w:rPr>
          <w:color w:val="000000" w:themeColor="text1"/>
        </w:rPr>
      </w:pPr>
    </w:p>
    <w:p w14:paraId="200EC310" w14:textId="77777777" w:rsidR="006F7996" w:rsidRPr="001A6BB9" w:rsidRDefault="006F7996" w:rsidP="006F7996">
      <w:pPr>
        <w:spacing w:line="360" w:lineRule="auto"/>
        <w:jc w:val="both"/>
        <w:rPr>
          <w:color w:val="000000" w:themeColor="text1"/>
        </w:rPr>
      </w:pPr>
    </w:p>
    <w:p w14:paraId="715E124E" w14:textId="77777777" w:rsidR="006F7996" w:rsidRDefault="006F7996" w:rsidP="006F7996">
      <w:pPr>
        <w:spacing w:line="360" w:lineRule="auto"/>
        <w:jc w:val="both"/>
        <w:rPr>
          <w:color w:val="000000" w:themeColor="text1"/>
        </w:rPr>
      </w:pPr>
    </w:p>
    <w:p w14:paraId="6723B47C" w14:textId="77777777" w:rsidR="0029138A" w:rsidRPr="001A6BB9" w:rsidRDefault="0029138A" w:rsidP="006F7996">
      <w:pPr>
        <w:spacing w:line="360" w:lineRule="auto"/>
        <w:jc w:val="both"/>
        <w:rPr>
          <w:color w:val="000000" w:themeColor="text1"/>
        </w:rPr>
      </w:pPr>
    </w:p>
    <w:p w14:paraId="7D12A355" w14:textId="77777777" w:rsidR="006F7996" w:rsidRDefault="006F7996" w:rsidP="006F7996">
      <w:pPr>
        <w:spacing w:line="360" w:lineRule="auto"/>
        <w:jc w:val="both"/>
        <w:rPr>
          <w:color w:val="000000" w:themeColor="text1"/>
        </w:rPr>
      </w:pPr>
    </w:p>
    <w:p w14:paraId="69DCA11E" w14:textId="77777777" w:rsidR="001820A9" w:rsidRPr="001A6BB9" w:rsidRDefault="001820A9" w:rsidP="006F7996">
      <w:pPr>
        <w:spacing w:line="360" w:lineRule="auto"/>
        <w:jc w:val="both"/>
        <w:rPr>
          <w:color w:val="000000" w:themeColor="text1"/>
        </w:rPr>
      </w:pPr>
    </w:p>
    <w:p w14:paraId="4F10F91A" w14:textId="77777777" w:rsidR="006F7996" w:rsidRPr="001A6BB9" w:rsidRDefault="006F7996" w:rsidP="006F7996">
      <w:pPr>
        <w:spacing w:line="360" w:lineRule="auto"/>
        <w:jc w:val="both"/>
        <w:rPr>
          <w:b/>
          <w:bCs/>
          <w:color w:val="000000" w:themeColor="text1"/>
          <w:u w:val="single"/>
        </w:rPr>
      </w:pPr>
      <w:r w:rsidRPr="001A6BB9">
        <w:rPr>
          <w:b/>
          <w:bCs/>
          <w:color w:val="000000" w:themeColor="text1"/>
          <w:u w:val="single"/>
        </w:rPr>
        <w:lastRenderedPageBreak/>
        <w:t>1- Sommaire</w:t>
      </w:r>
    </w:p>
    <w:p w14:paraId="593132A2" w14:textId="77777777" w:rsidR="006F7996" w:rsidRPr="001A6BB9" w:rsidRDefault="006F7996" w:rsidP="006F7996">
      <w:pPr>
        <w:spacing w:line="360" w:lineRule="auto"/>
        <w:jc w:val="both"/>
        <w:rPr>
          <w:color w:val="000000" w:themeColor="text1"/>
        </w:rPr>
      </w:pPr>
    </w:p>
    <w:p w14:paraId="4F706909" w14:textId="219225C2" w:rsidR="006F7996" w:rsidRPr="001A6BB9" w:rsidRDefault="006F7996" w:rsidP="006F7996">
      <w:pPr>
        <w:spacing w:line="360" w:lineRule="auto"/>
        <w:ind w:firstLine="708"/>
        <w:jc w:val="both"/>
        <w:rPr>
          <w:color w:val="000000" w:themeColor="text1"/>
        </w:rPr>
      </w:pPr>
      <w:r w:rsidRPr="001A6BB9">
        <w:rPr>
          <w:color w:val="000000" w:themeColor="text1"/>
        </w:rPr>
        <w:t xml:space="preserve">Le Québec a proposé un renforcement de la mise en place de plusieurs politiques vestimentaires dans les écoles secondaires publiques pour donner suite à une inquiétude sociétale sur les risques d’agression sexuelle des jeunes filles dans le début des années 2000. Pourtant, les derniers rapports de recherches dans ce sens indiquent une forte présence des violences sexuelles dans la province. Dans son dernier rapport sur les infractions sexuelles, le </w:t>
      </w:r>
      <w:r w:rsidR="009A4322">
        <w:rPr>
          <w:color w:val="000000" w:themeColor="text1"/>
        </w:rPr>
        <w:t>m</w:t>
      </w:r>
      <w:r w:rsidRPr="001A6BB9">
        <w:rPr>
          <w:color w:val="000000" w:themeColor="text1"/>
        </w:rPr>
        <w:t>inistère de la Sécurité publique (2024) indique que ce sont les jeunes filles âgées de 15 à 17 ans qui sont le plus victimes de violence sexuelle, soit l’âge de la présence dans les écoles secondaires (</w:t>
      </w:r>
      <w:proofErr w:type="spellStart"/>
      <w:r w:rsidRPr="001A6BB9">
        <w:rPr>
          <w:color w:val="000000" w:themeColor="text1"/>
        </w:rPr>
        <w:t>Alloprof</w:t>
      </w:r>
      <w:proofErr w:type="spellEnd"/>
      <w:r w:rsidRPr="001A6BB9">
        <w:rPr>
          <w:color w:val="000000" w:themeColor="text1"/>
        </w:rPr>
        <w:t xml:space="preserve">, s.d.). Ce projet d’analyse s’est donc intéressé aux jeunes du secondaire et aux violences sexuelles, plus précisément, à savoir de quelle façon les politiques mis en place dans les écoles secondaires publiques du Québec influencent la présence des violences sexuelles chez les jeunes. Les résultats récoltés dans cette analyse démontrent que, sous le couvert de la décence, la sécurité et le respect, les politiques vestimentaires peuvent reproduire des dynamiques appartenant à la culture du viol, tel que la responsabilisation du corps féminin. Or, cette dynamique contribue indirectement à une certaine banalisation des violences sexuelles. </w:t>
      </w:r>
      <w:r>
        <w:rPr>
          <w:color w:val="000000" w:themeColor="text1"/>
        </w:rPr>
        <w:t>Finalement, u</w:t>
      </w:r>
      <w:r w:rsidRPr="001A6BB9">
        <w:rPr>
          <w:color w:val="000000" w:themeColor="text1"/>
        </w:rPr>
        <w:t>ne réflexion éthique s’est imposée quant à la divulgation du nom des écoles secondaires analysée. Par soucis éthiques et de confidentialité, le nom des écoles secondaires publiques du Québec ainsi que leur région administrative n’ont pas été dévoilé dans ce travail de recherche. </w:t>
      </w:r>
    </w:p>
    <w:p w14:paraId="267A6599" w14:textId="77777777" w:rsidR="006F7996" w:rsidRPr="001A6BB9" w:rsidRDefault="006F7996" w:rsidP="006F7996">
      <w:pPr>
        <w:spacing w:line="360" w:lineRule="auto"/>
        <w:ind w:firstLine="708"/>
        <w:jc w:val="both"/>
        <w:rPr>
          <w:b/>
          <w:bCs/>
          <w:color w:val="000000" w:themeColor="text1"/>
          <w:u w:val="single"/>
        </w:rPr>
      </w:pPr>
    </w:p>
    <w:p w14:paraId="40986491" w14:textId="77777777" w:rsidR="006F7996" w:rsidRPr="001A6BB9" w:rsidRDefault="006F7996" w:rsidP="006F7996">
      <w:pPr>
        <w:spacing w:line="360" w:lineRule="auto"/>
        <w:jc w:val="both"/>
        <w:rPr>
          <w:color w:val="000000" w:themeColor="text1"/>
        </w:rPr>
      </w:pPr>
      <w:r w:rsidRPr="001A6BB9">
        <w:rPr>
          <w:color w:val="000000" w:themeColor="text1"/>
          <w:u w:val="single"/>
        </w:rPr>
        <w:t>Mots clés </w:t>
      </w:r>
      <w:r w:rsidRPr="001A6BB9">
        <w:rPr>
          <w:color w:val="000000" w:themeColor="text1"/>
        </w:rPr>
        <w:t xml:space="preserve">: </w:t>
      </w:r>
      <w:r w:rsidRPr="001A6BB9">
        <w:rPr>
          <w:color w:val="000000" w:themeColor="text1"/>
          <w:u w:color="000000"/>
        </w:rPr>
        <w:t>Adolescents; Agression sexuelle ; Codes vestimentaires ; Culture du viol; École secondaire publique.</w:t>
      </w:r>
    </w:p>
    <w:p w14:paraId="3156DB2E" w14:textId="77777777" w:rsidR="006F7996" w:rsidRPr="001A6BB9" w:rsidRDefault="006F7996" w:rsidP="006F7996">
      <w:pPr>
        <w:spacing w:line="360" w:lineRule="auto"/>
        <w:jc w:val="both"/>
        <w:rPr>
          <w:color w:val="000000" w:themeColor="text1"/>
        </w:rPr>
      </w:pPr>
    </w:p>
    <w:p w14:paraId="6C2338A5" w14:textId="77777777" w:rsidR="006F7996" w:rsidRPr="001A6BB9" w:rsidRDefault="006F7996" w:rsidP="006F7996">
      <w:pPr>
        <w:spacing w:line="360" w:lineRule="auto"/>
        <w:jc w:val="both"/>
        <w:rPr>
          <w:color w:val="000000" w:themeColor="text1"/>
        </w:rPr>
      </w:pPr>
    </w:p>
    <w:p w14:paraId="1E40EFFB" w14:textId="77777777" w:rsidR="006F7996" w:rsidRPr="001A6BB9" w:rsidRDefault="006F7996" w:rsidP="006F7996">
      <w:pPr>
        <w:spacing w:line="360" w:lineRule="auto"/>
        <w:jc w:val="both"/>
        <w:rPr>
          <w:color w:val="000000" w:themeColor="text1"/>
        </w:rPr>
      </w:pPr>
    </w:p>
    <w:p w14:paraId="3C432229" w14:textId="77777777" w:rsidR="006F7996" w:rsidRPr="001A6BB9" w:rsidRDefault="006F7996" w:rsidP="006F7996">
      <w:pPr>
        <w:spacing w:line="360" w:lineRule="auto"/>
        <w:jc w:val="both"/>
        <w:rPr>
          <w:color w:val="000000" w:themeColor="text1"/>
        </w:rPr>
      </w:pPr>
    </w:p>
    <w:p w14:paraId="76825EA6" w14:textId="77777777" w:rsidR="006F7996" w:rsidRPr="001A6BB9" w:rsidRDefault="006F7996" w:rsidP="006F7996">
      <w:pPr>
        <w:spacing w:line="360" w:lineRule="auto"/>
        <w:jc w:val="both"/>
        <w:rPr>
          <w:color w:val="000000" w:themeColor="text1"/>
        </w:rPr>
      </w:pPr>
    </w:p>
    <w:p w14:paraId="02760BC2" w14:textId="77777777" w:rsidR="006F7996" w:rsidRPr="001A6BB9" w:rsidRDefault="006F7996" w:rsidP="006F7996">
      <w:pPr>
        <w:spacing w:line="360" w:lineRule="auto"/>
        <w:jc w:val="both"/>
        <w:rPr>
          <w:color w:val="000000" w:themeColor="text1"/>
        </w:rPr>
      </w:pPr>
    </w:p>
    <w:p w14:paraId="05ADB1ED" w14:textId="77777777" w:rsidR="006F7996" w:rsidRPr="001A6BB9" w:rsidRDefault="006F7996" w:rsidP="006F7996">
      <w:pPr>
        <w:spacing w:line="360" w:lineRule="auto"/>
        <w:jc w:val="both"/>
        <w:rPr>
          <w:color w:val="000000" w:themeColor="text1"/>
        </w:rPr>
      </w:pPr>
    </w:p>
    <w:p w14:paraId="738F7729" w14:textId="77777777" w:rsidR="006F7996" w:rsidRPr="001A6BB9" w:rsidRDefault="006F7996" w:rsidP="006F7996">
      <w:pPr>
        <w:spacing w:line="360" w:lineRule="auto"/>
        <w:jc w:val="both"/>
        <w:rPr>
          <w:color w:val="000000" w:themeColor="text1"/>
        </w:rPr>
      </w:pPr>
    </w:p>
    <w:p w14:paraId="61DB5B38" w14:textId="77777777" w:rsidR="006F7996" w:rsidRPr="001A6BB9" w:rsidRDefault="006F7996" w:rsidP="006F7996">
      <w:pPr>
        <w:spacing w:line="360" w:lineRule="auto"/>
        <w:jc w:val="both"/>
        <w:rPr>
          <w:color w:val="000000" w:themeColor="text1"/>
        </w:rPr>
      </w:pPr>
    </w:p>
    <w:p w14:paraId="37476B28" w14:textId="77777777" w:rsidR="006F7996" w:rsidRPr="001A6BB9" w:rsidRDefault="006F7996" w:rsidP="006F7996">
      <w:pPr>
        <w:spacing w:line="360" w:lineRule="auto"/>
        <w:jc w:val="both"/>
        <w:rPr>
          <w:b/>
          <w:bCs/>
          <w:color w:val="000000" w:themeColor="text1"/>
          <w:u w:val="single"/>
        </w:rPr>
      </w:pPr>
      <w:r w:rsidRPr="001A6BB9">
        <w:rPr>
          <w:b/>
          <w:bCs/>
          <w:color w:val="000000" w:themeColor="text1"/>
          <w:u w:val="single"/>
        </w:rPr>
        <w:lastRenderedPageBreak/>
        <w:t>Table des matières</w:t>
      </w:r>
    </w:p>
    <w:p w14:paraId="49E6A204" w14:textId="77777777" w:rsidR="006F7996" w:rsidRPr="001A6BB9" w:rsidRDefault="006F7996" w:rsidP="006F7996">
      <w:pPr>
        <w:spacing w:line="360" w:lineRule="auto"/>
        <w:jc w:val="both"/>
        <w:rPr>
          <w:color w:val="000000" w:themeColor="text1"/>
        </w:rPr>
      </w:pPr>
      <w:r w:rsidRPr="001A6BB9">
        <w:rPr>
          <w:color w:val="000000" w:themeColor="text1"/>
        </w:rPr>
        <w:t>1-Sommaire ..................................................................................................................................... 3</w:t>
      </w:r>
    </w:p>
    <w:p w14:paraId="2FE24E0B" w14:textId="77777777" w:rsidR="006F7996" w:rsidRPr="001A6BB9" w:rsidRDefault="006F7996" w:rsidP="006F7996">
      <w:pPr>
        <w:spacing w:line="360" w:lineRule="auto"/>
        <w:jc w:val="both"/>
        <w:rPr>
          <w:color w:val="000000" w:themeColor="text1"/>
        </w:rPr>
      </w:pPr>
      <w:r w:rsidRPr="001A6BB9">
        <w:rPr>
          <w:color w:val="000000" w:themeColor="text1"/>
        </w:rPr>
        <w:t>2-Introduction .................................................................................................................................. 5</w:t>
      </w:r>
    </w:p>
    <w:p w14:paraId="17D8C6A1" w14:textId="77777777" w:rsidR="006F7996" w:rsidRPr="001A6BB9" w:rsidRDefault="006F7996" w:rsidP="006F7996">
      <w:pPr>
        <w:spacing w:line="360" w:lineRule="auto"/>
        <w:jc w:val="both"/>
        <w:rPr>
          <w:color w:val="000000" w:themeColor="text1"/>
        </w:rPr>
      </w:pPr>
      <w:r w:rsidRPr="001A6BB9">
        <w:rPr>
          <w:color w:val="000000" w:themeColor="text1"/>
        </w:rPr>
        <w:t>3-Thématique .................................................................................................................................. 6</w:t>
      </w:r>
    </w:p>
    <w:p w14:paraId="7248BEAA" w14:textId="77777777" w:rsidR="006F7996" w:rsidRPr="001A6BB9" w:rsidRDefault="006F7996" w:rsidP="006F7996">
      <w:pPr>
        <w:spacing w:line="360" w:lineRule="auto"/>
        <w:ind w:firstLine="708"/>
        <w:jc w:val="both"/>
        <w:rPr>
          <w:color w:val="000000" w:themeColor="text1"/>
        </w:rPr>
      </w:pPr>
      <w:r w:rsidRPr="001A6BB9">
        <w:rPr>
          <w:color w:val="000000" w:themeColor="text1"/>
        </w:rPr>
        <w:t>3.1-Sujet .............................................................................................................................. 6</w:t>
      </w:r>
    </w:p>
    <w:p w14:paraId="6BC77817" w14:textId="77777777" w:rsidR="006F7996" w:rsidRPr="001A6BB9" w:rsidRDefault="006F7996" w:rsidP="006F7996">
      <w:pPr>
        <w:spacing w:line="360" w:lineRule="auto"/>
        <w:ind w:firstLine="708"/>
        <w:jc w:val="both"/>
        <w:rPr>
          <w:color w:val="000000" w:themeColor="text1"/>
        </w:rPr>
      </w:pPr>
      <w:r w:rsidRPr="001A6BB9">
        <w:rPr>
          <w:color w:val="000000" w:themeColor="text1"/>
        </w:rPr>
        <w:t>3.2-Question de recherche ................................................................................................... 6</w:t>
      </w:r>
    </w:p>
    <w:p w14:paraId="5E56FF9E" w14:textId="77777777" w:rsidR="006F7996" w:rsidRPr="001A6BB9" w:rsidRDefault="006F7996" w:rsidP="006F7996">
      <w:pPr>
        <w:spacing w:line="360" w:lineRule="auto"/>
        <w:ind w:firstLine="708"/>
        <w:jc w:val="both"/>
        <w:rPr>
          <w:color w:val="000000" w:themeColor="text1"/>
        </w:rPr>
      </w:pPr>
      <w:r w:rsidRPr="001A6BB9">
        <w:rPr>
          <w:color w:val="000000" w:themeColor="text1"/>
        </w:rPr>
        <w:t>3.3-Objectif général ............................................................................................................. 6</w:t>
      </w:r>
    </w:p>
    <w:p w14:paraId="4A993494" w14:textId="77777777" w:rsidR="006F7996" w:rsidRPr="001A6BB9" w:rsidRDefault="006F7996" w:rsidP="006F7996">
      <w:pPr>
        <w:spacing w:line="360" w:lineRule="auto"/>
        <w:ind w:firstLine="708"/>
        <w:jc w:val="both"/>
        <w:rPr>
          <w:color w:val="000000" w:themeColor="text1"/>
        </w:rPr>
      </w:pPr>
      <w:r w:rsidRPr="001A6BB9">
        <w:rPr>
          <w:color w:val="000000" w:themeColor="text1"/>
        </w:rPr>
        <w:t>3.4-Objectif spécifique ........................................................................................................ 7</w:t>
      </w:r>
    </w:p>
    <w:p w14:paraId="7282E5FB" w14:textId="77777777" w:rsidR="006F7996" w:rsidRPr="001A6BB9" w:rsidRDefault="006F7996" w:rsidP="006F7996">
      <w:pPr>
        <w:spacing w:line="360" w:lineRule="auto"/>
        <w:jc w:val="both"/>
        <w:rPr>
          <w:color w:val="000000" w:themeColor="text1"/>
        </w:rPr>
      </w:pPr>
      <w:r w:rsidRPr="001A6BB9">
        <w:rPr>
          <w:color w:val="000000" w:themeColor="text1"/>
        </w:rPr>
        <w:t>4-Cadre théorique ............................................................................................................................ 7</w:t>
      </w:r>
    </w:p>
    <w:p w14:paraId="22BDD4AF" w14:textId="77777777" w:rsidR="006F7996" w:rsidRPr="001A6BB9" w:rsidRDefault="006F7996" w:rsidP="006F7996">
      <w:pPr>
        <w:spacing w:line="360" w:lineRule="auto"/>
        <w:ind w:firstLine="708"/>
        <w:jc w:val="both"/>
        <w:rPr>
          <w:color w:val="000000" w:themeColor="text1"/>
        </w:rPr>
      </w:pPr>
      <w:r w:rsidRPr="001A6BB9">
        <w:rPr>
          <w:color w:val="000000" w:themeColor="text1"/>
        </w:rPr>
        <w:t>4.1-Problématique ............................................................................................................... 7</w:t>
      </w:r>
    </w:p>
    <w:p w14:paraId="6794F2D9" w14:textId="77777777" w:rsidR="006F7996" w:rsidRPr="001A6BB9" w:rsidRDefault="006F7996" w:rsidP="006F7996">
      <w:pPr>
        <w:spacing w:line="360" w:lineRule="auto"/>
        <w:ind w:firstLine="708"/>
        <w:jc w:val="both"/>
        <w:rPr>
          <w:color w:val="000000" w:themeColor="text1"/>
        </w:rPr>
      </w:pPr>
      <w:r w:rsidRPr="001A6BB9">
        <w:rPr>
          <w:color w:val="000000" w:themeColor="text1"/>
        </w:rPr>
        <w:t>4.2-Approche théorique et définition des concepts ............................................................. 8</w:t>
      </w:r>
    </w:p>
    <w:p w14:paraId="58354E4A" w14:textId="77777777" w:rsidR="006F7996" w:rsidRPr="001A6BB9" w:rsidRDefault="006F7996" w:rsidP="006F7996">
      <w:pPr>
        <w:spacing w:line="360" w:lineRule="auto"/>
        <w:jc w:val="both"/>
        <w:rPr>
          <w:color w:val="000000" w:themeColor="text1"/>
        </w:rPr>
      </w:pPr>
      <w:r w:rsidRPr="001A6BB9">
        <w:rPr>
          <w:color w:val="000000" w:themeColor="text1"/>
        </w:rPr>
        <w:t>5-Méthodologie ............................................................................................................................... 9</w:t>
      </w:r>
    </w:p>
    <w:p w14:paraId="10095676" w14:textId="77777777" w:rsidR="006F7996" w:rsidRPr="001A6BB9" w:rsidRDefault="006F7996" w:rsidP="006F7996">
      <w:pPr>
        <w:spacing w:line="360" w:lineRule="auto"/>
        <w:jc w:val="both"/>
        <w:rPr>
          <w:color w:val="000000" w:themeColor="text1"/>
        </w:rPr>
      </w:pPr>
      <w:r w:rsidRPr="001A6BB9">
        <w:rPr>
          <w:color w:val="000000" w:themeColor="text1"/>
        </w:rPr>
        <w:t>6-Analyse ...................................................................................................................................... 10</w:t>
      </w:r>
    </w:p>
    <w:p w14:paraId="51469DB8" w14:textId="77777777" w:rsidR="006F7996" w:rsidRPr="001A6BB9" w:rsidRDefault="006F7996" w:rsidP="006F7996">
      <w:pPr>
        <w:spacing w:line="360" w:lineRule="auto"/>
        <w:ind w:firstLine="708"/>
        <w:jc w:val="both"/>
        <w:rPr>
          <w:color w:val="000000" w:themeColor="text1"/>
        </w:rPr>
      </w:pPr>
      <w:r w:rsidRPr="001A6BB9">
        <w:rPr>
          <w:color w:val="000000" w:themeColor="text1"/>
        </w:rPr>
        <w:t>6.1-Agression sexuelle; définition...................................................................................... 10</w:t>
      </w:r>
    </w:p>
    <w:p w14:paraId="1D1D862B" w14:textId="77777777" w:rsidR="006F7996" w:rsidRPr="001A6BB9" w:rsidRDefault="006F7996" w:rsidP="006F7996">
      <w:pPr>
        <w:spacing w:line="360" w:lineRule="auto"/>
        <w:ind w:firstLine="708"/>
        <w:jc w:val="both"/>
        <w:rPr>
          <w:color w:val="000000" w:themeColor="text1"/>
        </w:rPr>
      </w:pPr>
      <w:r w:rsidRPr="001A6BB9">
        <w:rPr>
          <w:color w:val="000000" w:themeColor="text1"/>
        </w:rPr>
        <w:t>6.1.1-Agression sexuelle; portrait québécois...................................................................... 11</w:t>
      </w:r>
    </w:p>
    <w:p w14:paraId="10B0EFCC" w14:textId="66A39B54" w:rsidR="006F7996" w:rsidRPr="001A6BB9" w:rsidRDefault="006F7996" w:rsidP="006F7996">
      <w:pPr>
        <w:spacing w:line="360" w:lineRule="auto"/>
        <w:ind w:firstLine="708"/>
        <w:jc w:val="both"/>
        <w:rPr>
          <w:color w:val="000000" w:themeColor="text1"/>
        </w:rPr>
      </w:pPr>
      <w:r w:rsidRPr="001A6BB9">
        <w:rPr>
          <w:color w:val="000000" w:themeColor="text1"/>
        </w:rPr>
        <w:t>6.2-Les codes vestimentaires dans les écoles publiques du Québec; le fondement........... 1</w:t>
      </w:r>
      <w:r w:rsidR="00D9063E">
        <w:rPr>
          <w:color w:val="000000" w:themeColor="text1"/>
        </w:rPr>
        <w:t>4</w:t>
      </w:r>
    </w:p>
    <w:p w14:paraId="6EEC2638" w14:textId="77777777" w:rsidR="006F7996" w:rsidRPr="001A6BB9" w:rsidRDefault="006F7996" w:rsidP="006F7996">
      <w:pPr>
        <w:spacing w:line="360" w:lineRule="auto"/>
        <w:ind w:firstLine="708"/>
        <w:jc w:val="both"/>
        <w:rPr>
          <w:color w:val="000000" w:themeColor="text1"/>
        </w:rPr>
      </w:pPr>
      <w:r w:rsidRPr="001A6BB9">
        <w:rPr>
          <w:color w:val="000000" w:themeColor="text1"/>
        </w:rPr>
        <w:t>6.2.1-Les codes vestimentaires; définition......................................................................... 14</w:t>
      </w:r>
    </w:p>
    <w:p w14:paraId="74832CA0" w14:textId="77777777" w:rsidR="006F7996" w:rsidRPr="001A6BB9" w:rsidRDefault="006F7996" w:rsidP="006F7996">
      <w:pPr>
        <w:spacing w:line="360" w:lineRule="auto"/>
        <w:ind w:firstLine="708"/>
        <w:jc w:val="both"/>
        <w:rPr>
          <w:color w:val="000000" w:themeColor="text1"/>
        </w:rPr>
      </w:pPr>
      <w:r w:rsidRPr="001A6BB9">
        <w:rPr>
          <w:color w:val="000000" w:themeColor="text1"/>
        </w:rPr>
        <w:t>6.2.2-Les codes vestimentaires; les politiques.................................................................... 15</w:t>
      </w:r>
    </w:p>
    <w:p w14:paraId="6753E0BF" w14:textId="77777777" w:rsidR="006F7996" w:rsidRPr="001A6BB9" w:rsidRDefault="006F7996" w:rsidP="006F7996">
      <w:pPr>
        <w:spacing w:line="360" w:lineRule="auto"/>
        <w:ind w:firstLine="708"/>
        <w:jc w:val="both"/>
        <w:rPr>
          <w:color w:val="000000" w:themeColor="text1"/>
        </w:rPr>
      </w:pPr>
      <w:r w:rsidRPr="001A6BB9">
        <w:rPr>
          <w:color w:val="000000" w:themeColor="text1"/>
        </w:rPr>
        <w:t>6.2.3-Les codes vestimentaires; la responsabilité de la victime......................................... 17</w:t>
      </w:r>
    </w:p>
    <w:p w14:paraId="17E1EB83" w14:textId="77777777" w:rsidR="006F7996" w:rsidRPr="001A6BB9" w:rsidRDefault="006F7996" w:rsidP="006F7996">
      <w:pPr>
        <w:spacing w:line="360" w:lineRule="auto"/>
        <w:ind w:firstLine="708"/>
        <w:jc w:val="both"/>
        <w:rPr>
          <w:color w:val="000000" w:themeColor="text1"/>
        </w:rPr>
      </w:pPr>
      <w:r w:rsidRPr="001A6BB9">
        <w:rPr>
          <w:color w:val="000000" w:themeColor="text1"/>
        </w:rPr>
        <w:t>6.2.4-Les codes vestimentaires; contrôle du corps des filles............................................... 18</w:t>
      </w:r>
    </w:p>
    <w:p w14:paraId="5114B830" w14:textId="77777777" w:rsidR="006F7996" w:rsidRPr="001A6BB9" w:rsidRDefault="006F7996" w:rsidP="006F7996">
      <w:pPr>
        <w:spacing w:line="360" w:lineRule="auto"/>
        <w:ind w:firstLine="708"/>
        <w:jc w:val="both"/>
        <w:rPr>
          <w:color w:val="000000" w:themeColor="text1"/>
        </w:rPr>
      </w:pPr>
      <w:r w:rsidRPr="001A6BB9">
        <w:rPr>
          <w:color w:val="000000" w:themeColor="text1"/>
        </w:rPr>
        <w:t xml:space="preserve">6.2.5-Les codes vestimentaires; l’expérience des filles...................................................... </w:t>
      </w:r>
      <w:r>
        <w:rPr>
          <w:color w:val="000000" w:themeColor="text1"/>
        </w:rPr>
        <w:t>20</w:t>
      </w:r>
    </w:p>
    <w:p w14:paraId="22EADABD" w14:textId="77777777" w:rsidR="006F7996" w:rsidRPr="001A6BB9" w:rsidRDefault="006F7996" w:rsidP="006F7996">
      <w:pPr>
        <w:spacing w:line="360" w:lineRule="auto"/>
        <w:ind w:firstLine="708"/>
        <w:jc w:val="both"/>
        <w:rPr>
          <w:color w:val="000000" w:themeColor="text1"/>
        </w:rPr>
      </w:pPr>
      <w:r w:rsidRPr="001A6BB9">
        <w:rPr>
          <w:color w:val="000000" w:themeColor="text1"/>
        </w:rPr>
        <w:t>6.2.6-Les codes vestimentaires; le mythe de la sexualité masculine incontrôlable............. 21</w:t>
      </w:r>
    </w:p>
    <w:p w14:paraId="26D63B36" w14:textId="77777777" w:rsidR="006F7996" w:rsidRPr="001A6BB9" w:rsidRDefault="006F7996" w:rsidP="006F7996">
      <w:pPr>
        <w:spacing w:line="360" w:lineRule="auto"/>
        <w:ind w:firstLine="708"/>
        <w:jc w:val="both"/>
        <w:rPr>
          <w:color w:val="000000" w:themeColor="text1"/>
        </w:rPr>
      </w:pPr>
      <w:r w:rsidRPr="001A6BB9">
        <w:rPr>
          <w:color w:val="000000" w:themeColor="text1"/>
        </w:rPr>
        <w:t>6.3-Interprétation des résultats........................................................................................... 22</w:t>
      </w:r>
    </w:p>
    <w:p w14:paraId="03AA4317" w14:textId="77777777" w:rsidR="006F7996" w:rsidRPr="001A6BB9" w:rsidRDefault="006F7996" w:rsidP="006F7996">
      <w:pPr>
        <w:spacing w:line="360" w:lineRule="auto"/>
        <w:jc w:val="both"/>
        <w:rPr>
          <w:color w:val="000000" w:themeColor="text1"/>
        </w:rPr>
      </w:pPr>
      <w:r w:rsidRPr="001A6BB9">
        <w:rPr>
          <w:color w:val="000000" w:themeColor="text1"/>
        </w:rPr>
        <w:t xml:space="preserve">7-Discussion................................................................................................................................... 23 </w:t>
      </w:r>
    </w:p>
    <w:p w14:paraId="35DC6CDF" w14:textId="77777777" w:rsidR="006F7996" w:rsidRPr="001A6BB9" w:rsidRDefault="006F7996" w:rsidP="006F7996">
      <w:pPr>
        <w:spacing w:line="360" w:lineRule="auto"/>
        <w:jc w:val="both"/>
        <w:rPr>
          <w:color w:val="000000" w:themeColor="text1"/>
        </w:rPr>
      </w:pPr>
      <w:r w:rsidRPr="001A6BB9">
        <w:rPr>
          <w:color w:val="000000" w:themeColor="text1"/>
        </w:rPr>
        <w:t>8-Réflexion éthique........................................................................................................................ 24</w:t>
      </w:r>
    </w:p>
    <w:p w14:paraId="64498498" w14:textId="77777777" w:rsidR="006F7996" w:rsidRPr="001A6BB9" w:rsidRDefault="006F7996" w:rsidP="006F7996">
      <w:pPr>
        <w:spacing w:line="360" w:lineRule="auto"/>
        <w:jc w:val="both"/>
        <w:rPr>
          <w:color w:val="000000" w:themeColor="text1"/>
        </w:rPr>
      </w:pPr>
      <w:r w:rsidRPr="001A6BB9">
        <w:rPr>
          <w:color w:val="000000" w:themeColor="text1"/>
        </w:rPr>
        <w:t>9-Conclusion.................................................................................................................................. 2</w:t>
      </w:r>
      <w:r>
        <w:rPr>
          <w:color w:val="000000" w:themeColor="text1"/>
        </w:rPr>
        <w:t>4</w:t>
      </w:r>
    </w:p>
    <w:p w14:paraId="7370B666" w14:textId="77777777" w:rsidR="006F7996" w:rsidRPr="001A6BB9" w:rsidRDefault="006F7996" w:rsidP="006F7996">
      <w:pPr>
        <w:spacing w:line="360" w:lineRule="auto"/>
        <w:ind w:firstLine="708"/>
        <w:jc w:val="both"/>
        <w:rPr>
          <w:color w:val="000000" w:themeColor="text1"/>
        </w:rPr>
      </w:pPr>
      <w:r w:rsidRPr="001A6BB9">
        <w:rPr>
          <w:color w:val="000000" w:themeColor="text1"/>
        </w:rPr>
        <w:t>9.1-Limites et recommandations........................................................................................ 25</w:t>
      </w:r>
    </w:p>
    <w:p w14:paraId="46125892" w14:textId="77777777" w:rsidR="006F7996" w:rsidRPr="001A6BB9" w:rsidRDefault="006F7996" w:rsidP="006F7996">
      <w:pPr>
        <w:spacing w:line="360" w:lineRule="auto"/>
        <w:jc w:val="both"/>
        <w:rPr>
          <w:color w:val="000000" w:themeColor="text1"/>
        </w:rPr>
      </w:pPr>
      <w:r w:rsidRPr="001A6BB9">
        <w:rPr>
          <w:color w:val="000000" w:themeColor="text1"/>
        </w:rPr>
        <w:t>10-Bibliographie ........................................................................................................................... 26</w:t>
      </w:r>
    </w:p>
    <w:p w14:paraId="48DCBA12" w14:textId="77777777" w:rsidR="006F7996" w:rsidRPr="001A6BB9" w:rsidRDefault="006F7996" w:rsidP="006F7996">
      <w:pPr>
        <w:spacing w:line="360" w:lineRule="auto"/>
        <w:jc w:val="both"/>
        <w:rPr>
          <w:color w:val="000000" w:themeColor="text1"/>
        </w:rPr>
      </w:pPr>
    </w:p>
    <w:p w14:paraId="56DB26FE" w14:textId="77777777" w:rsidR="006F7996" w:rsidRPr="001A6BB9" w:rsidRDefault="006F7996" w:rsidP="006F7996">
      <w:pPr>
        <w:spacing w:line="360" w:lineRule="auto"/>
        <w:jc w:val="both"/>
        <w:rPr>
          <w:color w:val="000000" w:themeColor="text1"/>
        </w:rPr>
      </w:pPr>
    </w:p>
    <w:p w14:paraId="3073D20A" w14:textId="77777777" w:rsidR="006F7996" w:rsidRPr="001A6BB9" w:rsidRDefault="006F7996" w:rsidP="006F7996">
      <w:pPr>
        <w:spacing w:line="360" w:lineRule="auto"/>
        <w:jc w:val="both"/>
        <w:rPr>
          <w:color w:val="000000" w:themeColor="text1"/>
        </w:rPr>
      </w:pPr>
    </w:p>
    <w:p w14:paraId="664D9575"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u w:val="single"/>
        </w:rPr>
      </w:pPr>
      <w:r w:rsidRPr="001A6BB9">
        <w:rPr>
          <w:b/>
          <w:bCs/>
          <w:color w:val="000000" w:themeColor="text1"/>
          <w:u w:val="single"/>
        </w:rPr>
        <w:lastRenderedPageBreak/>
        <w:t>2- Introduction</w:t>
      </w:r>
    </w:p>
    <w:p w14:paraId="496BA2D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rPr>
      </w:pPr>
    </w:p>
    <w:p w14:paraId="4151E253" w14:textId="2CB36FD4"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 xml:space="preserve">Dans les écoles secondaires publiques du Québec, il existe plusieurs politiques vestimentaires qui sont régis par le conseil de l’établissement de chaque école (Carpentier, 2005). Il suffit d’effectuer quelques recherches sur les sites internet de certaines écoles secondaires pour y observer que les politiques entourant les codes vestimentaires diffèrent d’une école à une autre. En </w:t>
      </w:r>
      <w:r w:rsidR="00C054D1">
        <w:rPr>
          <w:color w:val="000000" w:themeColor="text1"/>
        </w:rPr>
        <w:t xml:space="preserve">examinant </w:t>
      </w:r>
      <w:r w:rsidRPr="001A6BB9">
        <w:rPr>
          <w:color w:val="000000" w:themeColor="text1"/>
        </w:rPr>
        <w:t>certains sites internet d’école secondaire publique du Québec, il s’avère que les politiques en place contrôlent davantage le corps des filles en leur interdisant d’exposer certaines parties de leur corps</w:t>
      </w:r>
      <w:r>
        <w:rPr>
          <w:color w:val="000000" w:themeColor="text1"/>
        </w:rPr>
        <w:t>,</w:t>
      </w:r>
      <w:r w:rsidRPr="001A6BB9">
        <w:rPr>
          <w:color w:val="000000" w:themeColor="text1"/>
        </w:rPr>
        <w:t xml:space="preserve"> telles que leurs fesses, leurs épaules et leurs courbes. Ce type d’attente envers les jeunes étudiantes des écoles secondaires publiques du Québec serait-il problématique? Selon la mère d’une jeune adolescente de l’école secondaire Robert-Gravel, le code vestimentaire des élèves est « complètement archaïque, sexiste, vraiment axé sur le contrôle du corps des filles » (</w:t>
      </w:r>
      <w:proofErr w:type="spellStart"/>
      <w:r w:rsidRPr="001A6BB9">
        <w:rPr>
          <w:color w:val="000000" w:themeColor="text1"/>
        </w:rPr>
        <w:t>Krol</w:t>
      </w:r>
      <w:proofErr w:type="spellEnd"/>
      <w:r w:rsidRPr="001A6BB9">
        <w:rPr>
          <w:color w:val="000000" w:themeColor="text1"/>
        </w:rPr>
        <w:t xml:space="preserve">, 2022). Le commentaire de cette mère souligne la présence de la culture du viol, puisque, </w:t>
      </w:r>
      <w:r>
        <w:rPr>
          <w:color w:val="000000" w:themeColor="text1"/>
        </w:rPr>
        <w:t xml:space="preserve">selon </w:t>
      </w:r>
      <w:r w:rsidRPr="001A6BB9">
        <w:rPr>
          <w:color w:val="000000" w:themeColor="text1"/>
        </w:rPr>
        <w:t xml:space="preserve">certains auteurs, </w:t>
      </w:r>
      <w:r>
        <w:rPr>
          <w:color w:val="000000" w:themeColor="text1"/>
        </w:rPr>
        <w:t>comme</w:t>
      </w:r>
      <w:r w:rsidRPr="001A6BB9">
        <w:rPr>
          <w:color w:val="000000" w:themeColor="text1"/>
        </w:rPr>
        <w:t xml:space="preserve"> Keller et ses collaboratrices (2018), le contrôle du corps des filles fait partie des stratégies utilisées par </w:t>
      </w:r>
      <w:r>
        <w:rPr>
          <w:color w:val="000000" w:themeColor="text1"/>
        </w:rPr>
        <w:t>cette culture</w:t>
      </w:r>
      <w:r w:rsidRPr="001A6BB9">
        <w:rPr>
          <w:color w:val="000000" w:themeColor="text1"/>
        </w:rPr>
        <w:t xml:space="preserve">. </w:t>
      </w:r>
    </w:p>
    <w:p w14:paraId="7D645F0B"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0E9F217C" w14:textId="6E634455" w:rsidR="006F7996" w:rsidRPr="00466DBD"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r>
      <w:r w:rsidR="00466DBD" w:rsidRPr="00466DBD">
        <w:rPr>
          <w:rFonts w:eastAsiaTheme="minorHAnsi"/>
          <w:color w:val="000000"/>
          <w:lang w:eastAsia="en-US"/>
          <w14:ligatures w14:val="standardContextual"/>
        </w:rPr>
        <w:t>Or, l’état actuel des connaissances démontre que la culture du viol semble présente dans notre société québécoise, puisqu’il existe un fort taux de violences sexuelles (</w:t>
      </w:r>
      <w:proofErr w:type="gramStart"/>
      <w:r w:rsidR="00466DBD" w:rsidRPr="00466DBD">
        <w:rPr>
          <w:rFonts w:eastAsiaTheme="minorHAnsi"/>
          <w:color w:val="000000"/>
          <w:lang w:eastAsia="en-US"/>
          <w14:ligatures w14:val="standardContextual"/>
        </w:rPr>
        <w:t>Ministère</w:t>
      </w:r>
      <w:proofErr w:type="gramEnd"/>
      <w:r w:rsidR="00466DBD" w:rsidRPr="00466DBD">
        <w:rPr>
          <w:rFonts w:eastAsiaTheme="minorHAnsi"/>
          <w:color w:val="000000"/>
          <w:lang w:eastAsia="en-US"/>
          <w14:ligatures w14:val="standardContextual"/>
        </w:rPr>
        <w:t xml:space="preserve"> de la Sécurité publique, 2024). Qui plus est, le ministère de la Sécurité publique du Québec (2024) indique, dans son rapport sur les infractions sexuelles de 2022, que le taux des infractions sexuelles déclarées est à la hausse depuis les dix dernières années. Ce même rapport fait ressortir que ce sont chez les jeunes adolescentes que le taux d’infractions sexuelles est le plus élevé (</w:t>
      </w:r>
      <w:proofErr w:type="gramStart"/>
      <w:r w:rsidR="00466DBD" w:rsidRPr="00466DBD">
        <w:rPr>
          <w:rFonts w:eastAsiaTheme="minorHAnsi"/>
          <w:color w:val="000000"/>
          <w:lang w:eastAsia="en-US"/>
          <w14:ligatures w14:val="standardContextual"/>
        </w:rPr>
        <w:t>Ministère</w:t>
      </w:r>
      <w:proofErr w:type="gramEnd"/>
      <w:r w:rsidR="00466DBD" w:rsidRPr="00466DBD">
        <w:rPr>
          <w:rFonts w:eastAsiaTheme="minorHAnsi"/>
          <w:color w:val="000000"/>
          <w:lang w:eastAsia="en-US"/>
          <w14:ligatures w14:val="standardContextual"/>
        </w:rPr>
        <w:t xml:space="preserve"> de la Sécurité publique, 2024).</w:t>
      </w:r>
    </w:p>
    <w:p w14:paraId="09D44886"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2FEEF22E" w14:textId="3CECF2D6"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r>
      <w:r>
        <w:rPr>
          <w:color w:val="000000" w:themeColor="text1"/>
        </w:rPr>
        <w:t>P</w:t>
      </w:r>
      <w:r w:rsidRPr="001A6BB9">
        <w:rPr>
          <w:color w:val="000000" w:themeColor="text1"/>
        </w:rPr>
        <w:t>uisque ses deux enjeux ont un point commun, les jeunes adolescent</w:t>
      </w:r>
      <w:r w:rsidR="00210774">
        <w:rPr>
          <w:color w:val="000000" w:themeColor="text1"/>
        </w:rPr>
        <w:t>e</w:t>
      </w:r>
      <w:r w:rsidRPr="001A6BB9">
        <w:rPr>
          <w:color w:val="000000" w:themeColor="text1"/>
        </w:rPr>
        <w:t>s, ce</w:t>
      </w:r>
      <w:r w:rsidR="00390399">
        <w:rPr>
          <w:color w:val="000000" w:themeColor="text1"/>
        </w:rPr>
        <w:t>tte recherche</w:t>
      </w:r>
      <w:r w:rsidRPr="001A6BB9">
        <w:rPr>
          <w:color w:val="000000" w:themeColor="text1"/>
        </w:rPr>
        <w:t xml:space="preserve"> s’est penché</w:t>
      </w:r>
      <w:r w:rsidR="00390399">
        <w:rPr>
          <w:color w:val="000000" w:themeColor="text1"/>
        </w:rPr>
        <w:t>e</w:t>
      </w:r>
      <w:r w:rsidRPr="001A6BB9">
        <w:rPr>
          <w:color w:val="000000" w:themeColor="text1"/>
        </w:rPr>
        <w:t xml:space="preserve"> sur l’éventuelle existence d’un lien entre les politiques vestimentaires des écoles secondaires québécoises et les violences sexuelles. Le projet d’analyse qui suit présente d’abord la thématique de cette recherche, soit les questions de recherches ainsi que les objectifs de celle-ci. Ensuite, le cadre théorique fait ressortir la problématique, soit le taux élevé des violences sexuelles auprès des adolescentes ainsi que la présence d’une société patriarcale qui reproduit la culture du viol. </w:t>
      </w:r>
      <w:r>
        <w:rPr>
          <w:color w:val="000000" w:themeColor="text1"/>
        </w:rPr>
        <w:t>D</w:t>
      </w:r>
      <w:r w:rsidRPr="001A6BB9">
        <w:rPr>
          <w:color w:val="000000" w:themeColor="text1"/>
        </w:rPr>
        <w:t xml:space="preserve">es définitions des concepts de l’approche féministe et de la culture du viol y seront </w:t>
      </w:r>
      <w:r w:rsidRPr="001A6BB9">
        <w:rPr>
          <w:color w:val="000000" w:themeColor="text1"/>
        </w:rPr>
        <w:lastRenderedPageBreak/>
        <w:t xml:space="preserve">présentées. </w:t>
      </w:r>
      <w:r w:rsidR="00D21A9E" w:rsidRPr="00D21A9E">
        <w:rPr>
          <w:rFonts w:eastAsiaTheme="minorHAnsi"/>
          <w:color w:val="000000"/>
          <w:lang w:eastAsia="en-US"/>
          <w14:ligatures w14:val="standardContextual"/>
        </w:rPr>
        <w:t xml:space="preserve">Après cela, on trouvera un portrait </w:t>
      </w:r>
      <w:r w:rsidR="00C9107D">
        <w:rPr>
          <w:rFonts w:eastAsiaTheme="minorHAnsi"/>
          <w:color w:val="000000"/>
          <w:lang w:eastAsia="en-US"/>
          <w14:ligatures w14:val="standardContextual"/>
        </w:rPr>
        <w:t xml:space="preserve">complet </w:t>
      </w:r>
      <w:r w:rsidR="00D21A9E" w:rsidRPr="00D21A9E">
        <w:rPr>
          <w:rFonts w:eastAsiaTheme="minorHAnsi"/>
          <w:color w:val="000000"/>
          <w:lang w:eastAsia="en-US"/>
          <w14:ligatures w14:val="standardContextual"/>
        </w:rPr>
        <w:t xml:space="preserve">des violences sexuelles au Québec, une analyse des politiques vestimentaires de cinq écoles secondaires publiques, l’expérience vécue par les filles à l’égard de ces politiques, et une analyse par recension des écrits pour repérer la présence d’éléments susceptibles de contribuer à la culture du viol dans nos institutions scolaires. </w:t>
      </w:r>
      <w:r w:rsidRPr="00D21A9E">
        <w:rPr>
          <w:color w:val="000000" w:themeColor="text1"/>
        </w:rPr>
        <w:t>Finalement</w:t>
      </w:r>
      <w:r w:rsidRPr="001A6BB9">
        <w:rPr>
          <w:color w:val="000000" w:themeColor="text1"/>
        </w:rPr>
        <w:t xml:space="preserve">, les résultats envisagés par ces recherches seront d’identifier de quelle façon les politiques vestimentaires des écoles secondaires publiques du Québec prennent part, d’une façon ou d’une autre, à la culture du viol et si de telles politiques favorisent ou non les violences sexuelles. Les constats seront </w:t>
      </w:r>
      <w:r>
        <w:rPr>
          <w:color w:val="000000" w:themeColor="text1"/>
        </w:rPr>
        <w:t>repris dans la</w:t>
      </w:r>
      <w:r w:rsidRPr="001A6BB9">
        <w:rPr>
          <w:color w:val="000000" w:themeColor="text1"/>
        </w:rPr>
        <w:t xml:space="preserve"> discussion </w:t>
      </w:r>
      <w:r>
        <w:rPr>
          <w:color w:val="000000" w:themeColor="text1"/>
        </w:rPr>
        <w:t xml:space="preserve">et </w:t>
      </w:r>
      <w:r w:rsidRPr="001A6BB9">
        <w:rPr>
          <w:color w:val="000000" w:themeColor="text1"/>
        </w:rPr>
        <w:t>permettront de dégager des recommandations</w:t>
      </w:r>
      <w:r>
        <w:rPr>
          <w:color w:val="000000" w:themeColor="text1"/>
        </w:rPr>
        <w:t xml:space="preserve"> intégrées à même de la</w:t>
      </w:r>
      <w:r w:rsidRPr="001A6BB9">
        <w:rPr>
          <w:color w:val="000000" w:themeColor="text1"/>
        </w:rPr>
        <w:t xml:space="preserve"> conclusion.</w:t>
      </w:r>
    </w:p>
    <w:p w14:paraId="7CCD9CB5"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7701CF53"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u w:val="single"/>
        </w:rPr>
      </w:pPr>
      <w:r w:rsidRPr="001A6BB9">
        <w:rPr>
          <w:b/>
          <w:bCs/>
          <w:color w:val="000000" w:themeColor="text1"/>
          <w:u w:val="single"/>
        </w:rPr>
        <w:t xml:space="preserve">3- Thématique </w:t>
      </w:r>
    </w:p>
    <w:p w14:paraId="1B7BA1DC"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rPr>
      </w:pPr>
    </w:p>
    <w:p w14:paraId="70FD2E6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i/>
          <w:iCs/>
          <w:color w:val="000000" w:themeColor="text1"/>
        </w:rPr>
      </w:pPr>
      <w:r w:rsidRPr="001A6BB9">
        <w:rPr>
          <w:i/>
          <w:iCs/>
          <w:color w:val="000000" w:themeColor="text1"/>
        </w:rPr>
        <w:t>3.1 Sujet</w:t>
      </w:r>
    </w:p>
    <w:p w14:paraId="3BE99862" w14:textId="68E4F60A"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Les écoles secondaires publiques du Québec participent à la mise en place de politiques entourant les vêtements des jeunes adolescents qui côtoient ces institutions d’enseignements. L’objectif de telles politiques vise, entre autres, à enseigner à nos jeunes des valeurs de savoir-vivre et savoir être en société. Sachant que la violence sexuelle est un enjeu sociétal bien présent chez les jeunes adolescent</w:t>
      </w:r>
      <w:r>
        <w:rPr>
          <w:color w:val="000000" w:themeColor="text1"/>
        </w:rPr>
        <w:t>e</w:t>
      </w:r>
      <w:r w:rsidRPr="001A6BB9">
        <w:rPr>
          <w:color w:val="000000" w:themeColor="text1"/>
        </w:rPr>
        <w:t>s (</w:t>
      </w:r>
      <w:proofErr w:type="gramStart"/>
      <w:r w:rsidR="009D57A3">
        <w:rPr>
          <w:color w:val="000000" w:themeColor="text1"/>
        </w:rPr>
        <w:t>M</w:t>
      </w:r>
      <w:r w:rsidR="009A4322" w:rsidRPr="001A6BB9">
        <w:rPr>
          <w:color w:val="000000" w:themeColor="text1"/>
        </w:rPr>
        <w:t>inistère</w:t>
      </w:r>
      <w:proofErr w:type="gramEnd"/>
      <w:r w:rsidRPr="001A6BB9">
        <w:rPr>
          <w:color w:val="000000" w:themeColor="text1"/>
        </w:rPr>
        <w:t xml:space="preserve"> de la Sécurité publique, 2024), on ne peut que se demander si les politiques vestimentaires des écoles secondaires participent dans la mise en place de valeurs favorisant les violences sexuelles au Québec. La question entourant ce travail de recherche ainsi que ses objectifs seront </w:t>
      </w:r>
      <w:proofErr w:type="gramStart"/>
      <w:r w:rsidRPr="001A6BB9">
        <w:rPr>
          <w:color w:val="000000" w:themeColor="text1"/>
        </w:rPr>
        <w:t>présentés</w:t>
      </w:r>
      <w:proofErr w:type="gramEnd"/>
      <w:r w:rsidRPr="001A6BB9">
        <w:rPr>
          <w:color w:val="000000" w:themeColor="text1"/>
        </w:rPr>
        <w:t xml:space="preserve"> afin d’intégrer la nature de l’analyse à venir.</w:t>
      </w:r>
    </w:p>
    <w:p w14:paraId="0B87AA37"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6E99C5D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i/>
          <w:iCs/>
          <w:color w:val="000000" w:themeColor="text1"/>
        </w:rPr>
      </w:pPr>
      <w:r w:rsidRPr="001A6BB9">
        <w:rPr>
          <w:i/>
          <w:iCs/>
          <w:color w:val="000000" w:themeColor="text1"/>
        </w:rPr>
        <w:t>3.2</w:t>
      </w:r>
      <w:r w:rsidRPr="001A6BB9">
        <w:rPr>
          <w:color w:val="000000" w:themeColor="text1"/>
        </w:rPr>
        <w:t xml:space="preserve"> </w:t>
      </w:r>
      <w:r w:rsidRPr="001A6BB9">
        <w:rPr>
          <w:i/>
          <w:iCs/>
          <w:color w:val="000000" w:themeColor="text1"/>
        </w:rPr>
        <w:t>Question de recherche</w:t>
      </w:r>
    </w:p>
    <w:p w14:paraId="1C46A17E"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De quelle manière les politiques vestimentaires des écoles secondaires publiques du Québec influencent-elles la présence des violences sexuelles chez les jeunes?</w:t>
      </w:r>
    </w:p>
    <w:p w14:paraId="5CAE2C06"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20DBC67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i/>
          <w:iCs/>
          <w:color w:val="000000" w:themeColor="text1"/>
        </w:rPr>
      </w:pPr>
      <w:r w:rsidRPr="001A6BB9">
        <w:rPr>
          <w:i/>
          <w:iCs/>
          <w:color w:val="000000" w:themeColor="text1"/>
        </w:rPr>
        <w:t>3.3 Objectif général</w:t>
      </w:r>
    </w:p>
    <w:p w14:paraId="2A586B83" w14:textId="77777777" w:rsidR="006F7996"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L’objectif général de cette recherche est d’analyser le rôle que jouent les politiques vestimentaires de cinq écoles secondaires publiques du Québec dans la reproduction des violences sexuelles chez les jeunes.</w:t>
      </w:r>
    </w:p>
    <w:p w14:paraId="1D215C9B"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23EA5BE2"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i/>
          <w:iCs/>
          <w:color w:val="000000" w:themeColor="text1"/>
        </w:rPr>
      </w:pPr>
      <w:r w:rsidRPr="001A6BB9">
        <w:rPr>
          <w:i/>
          <w:iCs/>
          <w:color w:val="000000" w:themeColor="text1"/>
        </w:rPr>
        <w:lastRenderedPageBreak/>
        <w:t>3.4 Objectifs spécifiques</w:t>
      </w:r>
    </w:p>
    <w:p w14:paraId="70D3C211" w14:textId="77777777" w:rsidR="006F7996"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i/>
          <w:iCs/>
          <w:color w:val="000000" w:themeColor="text1"/>
        </w:rPr>
        <w:t>3.4.1</w:t>
      </w:r>
      <w:r w:rsidRPr="001A6BB9">
        <w:rPr>
          <w:color w:val="000000" w:themeColor="text1"/>
        </w:rPr>
        <w:t xml:space="preserve">       Élaborer un portrait des agressions sexuelles des jeunes du Québec afin d’identifier les populations les plus touchées et les formes de victimisation sexuelle les plus fréquentes.</w:t>
      </w:r>
    </w:p>
    <w:p w14:paraId="06C905A2"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68E9CA47"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i/>
          <w:iCs/>
          <w:color w:val="000000" w:themeColor="text1"/>
        </w:rPr>
        <w:t>3.4.2</w:t>
      </w:r>
      <w:r w:rsidRPr="001A6BB9">
        <w:rPr>
          <w:color w:val="000000" w:themeColor="text1"/>
        </w:rPr>
        <w:t xml:space="preserve">      Décrire le fondement des politiques vestimentaires dans les écoles publiques au Québec, d’analyser cinq politiques vestimentaires d’école secondaire publique et les interventions mises en place pour en assurer le respect.</w:t>
      </w:r>
    </w:p>
    <w:p w14:paraId="6C01E8FF"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20546B5C"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i/>
          <w:iCs/>
          <w:color w:val="000000" w:themeColor="text1"/>
        </w:rPr>
        <w:t>3.4.3</w:t>
      </w:r>
      <w:r w:rsidRPr="001A6BB9">
        <w:rPr>
          <w:color w:val="000000" w:themeColor="text1"/>
        </w:rPr>
        <w:t xml:space="preserve">      Examiner les règles vestimentaires dans le milieu scolaire sous la lunette de l’approche féministe afin d’analyser comment elles peuvent contribuer à la culpabilisation de la victime et atténuer la responsabilité des agresseurs (</w:t>
      </w:r>
      <w:proofErr w:type="spellStart"/>
      <w:r w:rsidRPr="001A6BB9">
        <w:rPr>
          <w:color w:val="000000" w:themeColor="text1"/>
        </w:rPr>
        <w:t>Harbach</w:t>
      </w:r>
      <w:proofErr w:type="spellEnd"/>
      <w:r w:rsidRPr="001A6BB9">
        <w:rPr>
          <w:color w:val="000000" w:themeColor="text1"/>
        </w:rPr>
        <w:t xml:space="preserve">, 2016; Kelly, 2019; </w:t>
      </w:r>
      <w:proofErr w:type="spellStart"/>
      <w:r w:rsidRPr="001A6BB9">
        <w:rPr>
          <w:color w:val="000000" w:themeColor="text1"/>
        </w:rPr>
        <w:t>Raby</w:t>
      </w:r>
      <w:proofErr w:type="spellEnd"/>
      <w:r w:rsidRPr="001A6BB9">
        <w:rPr>
          <w:color w:val="000000" w:themeColor="text1"/>
        </w:rPr>
        <w:t xml:space="preserve">, 2009; Ricci, 2025; </w:t>
      </w:r>
      <w:proofErr w:type="spellStart"/>
      <w:r w:rsidRPr="001A6BB9">
        <w:rPr>
          <w:color w:val="000000" w:themeColor="text1"/>
        </w:rPr>
        <w:t>Ringrose</w:t>
      </w:r>
      <w:proofErr w:type="spellEnd"/>
      <w:r w:rsidRPr="001A6BB9">
        <w:rPr>
          <w:color w:val="000000" w:themeColor="text1"/>
        </w:rPr>
        <w:t xml:space="preserve"> et </w:t>
      </w:r>
      <w:proofErr w:type="spellStart"/>
      <w:r w:rsidRPr="001A6BB9">
        <w:rPr>
          <w:color w:val="000000" w:themeColor="text1"/>
        </w:rPr>
        <w:t>Renold</w:t>
      </w:r>
      <w:proofErr w:type="spellEnd"/>
      <w:r w:rsidRPr="001A6BB9">
        <w:rPr>
          <w:color w:val="000000" w:themeColor="text1"/>
        </w:rPr>
        <w:t xml:space="preserve">, 2012; Suarez et al., 2010; </w:t>
      </w:r>
      <w:proofErr w:type="spellStart"/>
      <w:r w:rsidRPr="001A6BB9">
        <w:rPr>
          <w:color w:val="000000" w:themeColor="text1"/>
        </w:rPr>
        <w:t>Wah</w:t>
      </w:r>
      <w:proofErr w:type="spellEnd"/>
      <w:r w:rsidRPr="001A6BB9">
        <w:rPr>
          <w:color w:val="000000" w:themeColor="text1"/>
        </w:rPr>
        <w:t>, 2016).</w:t>
      </w:r>
    </w:p>
    <w:p w14:paraId="61A7717A"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6FB932FA"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u w:val="single"/>
        </w:rPr>
      </w:pPr>
      <w:r w:rsidRPr="001A6BB9">
        <w:rPr>
          <w:b/>
          <w:bCs/>
          <w:color w:val="000000" w:themeColor="text1"/>
          <w:u w:val="single"/>
        </w:rPr>
        <w:t>4- Cadre théorique</w:t>
      </w:r>
    </w:p>
    <w:p w14:paraId="2EE5A2F9"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rPr>
      </w:pPr>
    </w:p>
    <w:p w14:paraId="3AA9F191"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i/>
          <w:iCs/>
          <w:color w:val="000000" w:themeColor="text1"/>
        </w:rPr>
      </w:pPr>
      <w:r w:rsidRPr="001A6BB9">
        <w:rPr>
          <w:i/>
          <w:iCs/>
          <w:color w:val="000000" w:themeColor="text1"/>
        </w:rPr>
        <w:t>4.1 Problématique</w:t>
      </w:r>
    </w:p>
    <w:p w14:paraId="24A5099D"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color w:val="000000" w:themeColor="text1"/>
        </w:rPr>
        <w:tab/>
      </w:r>
      <w:r>
        <w:rPr>
          <w:color w:val="000000" w:themeColor="text1"/>
        </w:rPr>
        <w:t xml:space="preserve">D’une part, </w:t>
      </w:r>
      <w:r>
        <w:rPr>
          <w:rFonts w:eastAsiaTheme="minorHAnsi"/>
          <w:color w:val="000000" w:themeColor="text1"/>
          <w:lang w:eastAsia="en-US"/>
          <w14:ligatures w14:val="standardContextual"/>
        </w:rPr>
        <w:t>l</w:t>
      </w:r>
      <w:r w:rsidRPr="001A6BB9">
        <w:rPr>
          <w:rFonts w:eastAsiaTheme="minorHAnsi"/>
          <w:color w:val="000000" w:themeColor="text1"/>
          <w:lang w:eastAsia="en-US"/>
          <w14:ligatures w14:val="standardContextual"/>
        </w:rPr>
        <w:t xml:space="preserve">es recherches de Mercier (2020) constatent que l’objectif de départ des politiques vestimentaires visait à réduire les inégalités socio-économiques. Une autre étude ajoute que les vêtements sont porteurs de « messages et de codes » et que l’objectif des politiques vestimentaires vise « la sécurité, l’hygiène et l’efficacité sur le plan pédagogique » (Otis et Brunelle, 1995, p. 601). Toutefois, les résultats examinés sur les différents sites internet d’école secondaire publique du Québec mettent en lumière la présence de politiques </w:t>
      </w:r>
      <w:r>
        <w:rPr>
          <w:rFonts w:eastAsiaTheme="minorHAnsi"/>
          <w:color w:val="000000" w:themeColor="text1"/>
          <w:lang w:eastAsia="en-US"/>
          <w14:ligatures w14:val="standardContextual"/>
        </w:rPr>
        <w:t>ciblant</w:t>
      </w:r>
      <w:r w:rsidRPr="001A6BB9">
        <w:rPr>
          <w:rFonts w:eastAsiaTheme="minorHAnsi"/>
          <w:color w:val="000000" w:themeColor="text1"/>
          <w:lang w:eastAsia="en-US"/>
          <w14:ligatures w14:val="standardContextual"/>
        </w:rPr>
        <w:t xml:space="preserve"> davantage les filles que les garçons. C</w:t>
      </w:r>
      <w:r>
        <w:rPr>
          <w:rFonts w:eastAsiaTheme="minorHAnsi"/>
          <w:color w:val="000000" w:themeColor="text1"/>
          <w:lang w:eastAsia="en-US"/>
          <w14:ligatures w14:val="standardContextual"/>
        </w:rPr>
        <w:t>e constat</w:t>
      </w:r>
      <w:r w:rsidRPr="001A6BB9">
        <w:rPr>
          <w:rFonts w:eastAsiaTheme="minorHAnsi"/>
          <w:color w:val="000000" w:themeColor="text1"/>
          <w:lang w:eastAsia="en-US"/>
          <w14:ligatures w14:val="standardContextual"/>
        </w:rPr>
        <w:t xml:space="preserve"> soulève des questions quant à la signification sociale et genrée de ces règlements. En effet, des mobilisations tant au Canada qu’aux États-Unis ont eu lieu afin de souligner cette disparité de genre et le caractère sexiste des messages véhiculés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xml:space="preserve">, 2016; Mercier, 2020;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2016).</w:t>
      </w:r>
    </w:p>
    <w:p w14:paraId="6A6E9FE1"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30F85E65" w14:textId="15F04960"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r>
      <w:r>
        <w:rPr>
          <w:rFonts w:eastAsiaTheme="minorHAnsi"/>
          <w:color w:val="000000" w:themeColor="text1"/>
          <w:lang w:eastAsia="en-US"/>
          <w14:ligatures w14:val="standardContextual"/>
        </w:rPr>
        <w:t>D’une autre part, b</w:t>
      </w:r>
      <w:r w:rsidRPr="001A6BB9">
        <w:rPr>
          <w:rFonts w:eastAsiaTheme="minorHAnsi"/>
          <w:color w:val="000000" w:themeColor="text1"/>
          <w:lang w:eastAsia="en-US"/>
          <w14:ligatures w14:val="standardContextual"/>
        </w:rPr>
        <w:t>ien que la société québécoise se soit inquiétée pour le risque d’agression sexuelle des jeunes filles dans le milieu des années 2000 (Mercier, 2020), les récentes recherches sur la victimisation sexuelle au Québec démontrent que la problématique demeure toujours un enjeu préoccupant</w:t>
      </w:r>
      <w:r w:rsidR="003B08FA">
        <w:rPr>
          <w:rFonts w:eastAsiaTheme="minorHAnsi"/>
          <w:color w:val="000000" w:themeColor="text1"/>
          <w:lang w:eastAsia="en-US"/>
          <w14:ligatures w14:val="standardContextual"/>
        </w:rPr>
        <w:t xml:space="preserve"> </w:t>
      </w:r>
      <w:r w:rsidR="003B08FA" w:rsidRPr="001A6BB9">
        <w:rPr>
          <w:rFonts w:eastAsiaTheme="minorHAnsi"/>
          <w:color w:val="000000" w:themeColor="text1"/>
          <w:lang w:eastAsia="en-US"/>
          <w14:ligatures w14:val="standardContextual"/>
        </w:rPr>
        <w:t>(</w:t>
      </w:r>
      <w:proofErr w:type="gramStart"/>
      <w:r w:rsidR="003B08FA">
        <w:rPr>
          <w:rFonts w:eastAsiaTheme="minorHAnsi"/>
          <w:color w:val="000000" w:themeColor="text1"/>
          <w:lang w:eastAsia="en-US"/>
          <w14:ligatures w14:val="standardContextual"/>
        </w:rPr>
        <w:t>M</w:t>
      </w:r>
      <w:r w:rsidR="003B08FA" w:rsidRPr="001A6BB9">
        <w:rPr>
          <w:rFonts w:eastAsiaTheme="minorHAnsi"/>
          <w:color w:val="000000" w:themeColor="text1"/>
          <w:lang w:eastAsia="en-US"/>
          <w14:ligatures w14:val="standardContextual"/>
        </w:rPr>
        <w:t>inistère</w:t>
      </w:r>
      <w:proofErr w:type="gramEnd"/>
      <w:r w:rsidR="003B08FA" w:rsidRPr="001A6BB9">
        <w:rPr>
          <w:rFonts w:eastAsiaTheme="minorHAnsi"/>
          <w:color w:val="000000" w:themeColor="text1"/>
          <w:lang w:eastAsia="en-US"/>
          <w14:ligatures w14:val="standardContextual"/>
        </w:rPr>
        <w:t xml:space="preserve"> de la Sécurité publique, 2024). </w:t>
      </w:r>
      <w:r w:rsidRPr="001A6BB9">
        <w:rPr>
          <w:rFonts w:eastAsiaTheme="minorHAnsi"/>
          <w:color w:val="000000" w:themeColor="text1"/>
          <w:lang w:eastAsia="en-US"/>
          <w14:ligatures w14:val="standardContextual"/>
        </w:rPr>
        <w:t xml:space="preserve">Comme vous verrez dans l’analyse </w:t>
      </w:r>
      <w:r w:rsidRPr="001A6BB9">
        <w:rPr>
          <w:rFonts w:eastAsiaTheme="minorHAnsi"/>
          <w:color w:val="000000" w:themeColor="text1"/>
          <w:lang w:eastAsia="en-US"/>
          <w14:ligatures w14:val="standardContextual"/>
        </w:rPr>
        <w:lastRenderedPageBreak/>
        <w:t xml:space="preserve">de cette présente recherche, le </w:t>
      </w:r>
      <w:r w:rsidR="009D57A3" w:rsidRPr="001A6BB9">
        <w:rPr>
          <w:rFonts w:eastAsiaTheme="minorHAnsi"/>
          <w:color w:val="000000" w:themeColor="text1"/>
          <w:lang w:eastAsia="en-US"/>
          <w14:ligatures w14:val="standardContextual"/>
        </w:rPr>
        <w:t>ministère</w:t>
      </w:r>
      <w:r w:rsidRPr="001A6BB9">
        <w:rPr>
          <w:rFonts w:eastAsiaTheme="minorHAnsi"/>
          <w:color w:val="000000" w:themeColor="text1"/>
          <w:lang w:eastAsia="en-US"/>
          <w14:ligatures w14:val="standardContextual"/>
        </w:rPr>
        <w:t xml:space="preserve"> de la Sécurité publique du Québec (2024) démontre que le risque d’être victime d’une agression sexuelle lorsqu’on est une adolescente est bien réel. Les agressions sexuelles d’adolescentes âgées de 15 à 17 ans connaissent une hausse alarmante (</w:t>
      </w:r>
      <w:proofErr w:type="gramStart"/>
      <w:r w:rsidR="009D57A3">
        <w:rPr>
          <w:rFonts w:eastAsiaTheme="minorHAnsi"/>
          <w:color w:val="000000" w:themeColor="text1"/>
          <w:lang w:eastAsia="en-US"/>
          <w14:ligatures w14:val="standardContextual"/>
        </w:rPr>
        <w:t>M</w:t>
      </w:r>
      <w:r w:rsidR="009D57A3" w:rsidRPr="001A6BB9">
        <w:rPr>
          <w:rFonts w:eastAsiaTheme="minorHAnsi"/>
          <w:color w:val="000000" w:themeColor="text1"/>
          <w:lang w:eastAsia="en-US"/>
          <w14:ligatures w14:val="standardContextual"/>
        </w:rPr>
        <w:t>inistère</w:t>
      </w:r>
      <w:proofErr w:type="gramEnd"/>
      <w:r w:rsidRPr="001A6BB9">
        <w:rPr>
          <w:rFonts w:eastAsiaTheme="minorHAnsi"/>
          <w:color w:val="000000" w:themeColor="text1"/>
          <w:lang w:eastAsia="en-US"/>
          <w14:ligatures w14:val="standardContextual"/>
        </w:rPr>
        <w:t xml:space="preserve"> de la Sécurité publique, 2024). Sachant que l’âge des élèves du secondaire se situe entre 12 et 16 ans (</w:t>
      </w:r>
      <w:proofErr w:type="spellStart"/>
      <w:r w:rsidRPr="001A6BB9">
        <w:rPr>
          <w:rFonts w:eastAsiaTheme="minorHAnsi"/>
          <w:color w:val="000000" w:themeColor="text1"/>
          <w:lang w:eastAsia="en-US"/>
          <w14:ligatures w14:val="standardContextual"/>
        </w:rPr>
        <w:t>Alloprof</w:t>
      </w:r>
      <w:proofErr w:type="spellEnd"/>
      <w:r w:rsidRPr="001A6BB9">
        <w:rPr>
          <w:rFonts w:eastAsiaTheme="minorHAnsi"/>
          <w:color w:val="000000" w:themeColor="text1"/>
          <w:lang w:eastAsia="en-US"/>
          <w14:ligatures w14:val="standardContextual"/>
        </w:rPr>
        <w:t xml:space="preserve">, s.d.), cette population représente un groupe particulièrement vulnérable face aux violences à caractères sexuels. D’autant plus que le </w:t>
      </w:r>
      <w:r w:rsidR="009D57A3">
        <w:rPr>
          <w:rFonts w:eastAsiaTheme="minorHAnsi"/>
          <w:color w:val="000000" w:themeColor="text1"/>
          <w:lang w:eastAsia="en-US"/>
          <w14:ligatures w14:val="standardContextual"/>
        </w:rPr>
        <w:t>ministère</w:t>
      </w:r>
      <w:r w:rsidRPr="001A6BB9">
        <w:rPr>
          <w:rFonts w:eastAsiaTheme="minorHAnsi"/>
          <w:color w:val="000000" w:themeColor="text1"/>
          <w:lang w:eastAsia="en-US"/>
          <w14:ligatures w14:val="standardContextual"/>
        </w:rPr>
        <w:t xml:space="preserve"> de la Sécurité publique (2024) fait mention, dans son dernier rapport sur les agressions sexuelles, qu’un peu plus de 9% des victimes le sont dans un établissement d’enseignement. Ce</w:t>
      </w:r>
      <w:r>
        <w:rPr>
          <w:rFonts w:eastAsiaTheme="minorHAnsi"/>
          <w:color w:val="000000" w:themeColor="text1"/>
          <w:lang w:eastAsia="en-US"/>
          <w14:ligatures w14:val="standardContextual"/>
        </w:rPr>
        <w:t>s</w:t>
      </w:r>
      <w:r w:rsidRPr="001A6BB9">
        <w:rPr>
          <w:rFonts w:eastAsiaTheme="minorHAnsi"/>
          <w:color w:val="000000" w:themeColor="text1"/>
          <w:lang w:eastAsia="en-US"/>
          <w14:ligatures w14:val="standardContextual"/>
        </w:rPr>
        <w:t xml:space="preserve"> constat</w:t>
      </w:r>
      <w:r>
        <w:rPr>
          <w:rFonts w:eastAsiaTheme="minorHAnsi"/>
          <w:color w:val="000000" w:themeColor="text1"/>
          <w:lang w:eastAsia="en-US"/>
          <w14:ligatures w14:val="standardContextual"/>
        </w:rPr>
        <w:t>s</w:t>
      </w:r>
      <w:r w:rsidRPr="001A6BB9">
        <w:rPr>
          <w:rFonts w:eastAsiaTheme="minorHAnsi"/>
          <w:color w:val="000000" w:themeColor="text1"/>
          <w:lang w:eastAsia="en-US"/>
          <w14:ligatures w14:val="standardContextual"/>
        </w:rPr>
        <w:t xml:space="preserve"> f</w:t>
      </w:r>
      <w:r>
        <w:rPr>
          <w:rFonts w:eastAsiaTheme="minorHAnsi"/>
          <w:color w:val="000000" w:themeColor="text1"/>
          <w:lang w:eastAsia="en-US"/>
          <w14:ligatures w14:val="standardContextual"/>
        </w:rPr>
        <w:t>ont</w:t>
      </w:r>
      <w:r w:rsidRPr="001A6BB9">
        <w:rPr>
          <w:rFonts w:eastAsiaTheme="minorHAnsi"/>
          <w:color w:val="000000" w:themeColor="text1"/>
          <w:lang w:eastAsia="en-US"/>
          <w14:ligatures w14:val="standardContextual"/>
        </w:rPr>
        <w:t xml:space="preserve"> écho aux inquiétudes soulevé par les recherches de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Selon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notre société patriarcale, soit une société gouvernée et donc dominée en majorité par des hommes, perpétue l’obéissance des femmes en les maintenant dans la peur d’être violée.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souligne que, bien que ce ne sont pas tous les hommes qui agressent des femmes, les hommes ne vivent pas dans la peur d’être agressé sexuellement.</w:t>
      </w:r>
    </w:p>
    <w:p w14:paraId="434A127F"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0BB468C2" w14:textId="60C7EEFD"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r>
      <w:r>
        <w:rPr>
          <w:rFonts w:eastAsiaTheme="minorHAnsi"/>
          <w:color w:val="000000" w:themeColor="text1"/>
          <w:lang w:eastAsia="en-US"/>
          <w14:ligatures w14:val="standardContextual"/>
        </w:rPr>
        <w:t>Enfin</w:t>
      </w:r>
      <w:r w:rsidRPr="001A6BB9">
        <w:rPr>
          <w:rFonts w:eastAsiaTheme="minorHAnsi"/>
          <w:color w:val="000000" w:themeColor="text1"/>
          <w:lang w:eastAsia="en-US"/>
          <w14:ligatures w14:val="standardContextual"/>
        </w:rPr>
        <w:t xml:space="preserve">, </w:t>
      </w:r>
      <w:r>
        <w:rPr>
          <w:rFonts w:eastAsiaTheme="minorHAnsi"/>
          <w:color w:val="000000" w:themeColor="text1"/>
          <w:lang w:eastAsia="en-US"/>
          <w14:ligatures w14:val="standardContextual"/>
        </w:rPr>
        <w:t>comme</w:t>
      </w:r>
      <w:r w:rsidRPr="001A6BB9">
        <w:rPr>
          <w:rFonts w:eastAsiaTheme="minorHAnsi"/>
          <w:color w:val="000000" w:themeColor="text1"/>
          <w:lang w:eastAsia="en-US"/>
          <w14:ligatures w14:val="standardContextual"/>
        </w:rPr>
        <w:t xml:space="preserve"> « ce sont encore des hommes qui contrôlent le plus souvent — seuls ou à la majorité — les institutions politiques, économiques, scientifiques, médiatiques, culturelles, religieuses, policières, militaires et sportives, ainsi que les organisations criminelles » (Dupuis-</w:t>
      </w:r>
      <w:proofErr w:type="spellStart"/>
      <w:r w:rsidRPr="001A6BB9">
        <w:rPr>
          <w:rFonts w:eastAsiaTheme="minorHAnsi"/>
          <w:color w:val="000000" w:themeColor="text1"/>
          <w:lang w:eastAsia="en-US"/>
          <w14:ligatures w14:val="standardContextual"/>
        </w:rPr>
        <w:t>Déri</w:t>
      </w:r>
      <w:proofErr w:type="spellEnd"/>
      <w:r>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 2012, p. 91), et que les violences sexuelles envers les jeunes adolescentes sont bien ancrées dans notre société, il est </w:t>
      </w:r>
      <w:r>
        <w:rPr>
          <w:rFonts w:eastAsiaTheme="minorHAnsi"/>
          <w:color w:val="000000" w:themeColor="text1"/>
          <w:lang w:eastAsia="en-US"/>
          <w14:ligatures w14:val="standardContextual"/>
        </w:rPr>
        <w:t xml:space="preserve">apparu </w:t>
      </w:r>
      <w:r w:rsidRPr="001A6BB9">
        <w:rPr>
          <w:rFonts w:eastAsiaTheme="minorHAnsi"/>
          <w:color w:val="000000" w:themeColor="text1"/>
          <w:lang w:eastAsia="en-US"/>
          <w14:ligatures w14:val="standardContextual"/>
        </w:rPr>
        <w:t xml:space="preserve">nécessaire de poursuivre l’analyse </w:t>
      </w:r>
      <w:r>
        <w:rPr>
          <w:rFonts w:eastAsiaTheme="minorHAnsi"/>
          <w:color w:val="000000" w:themeColor="text1"/>
          <w:lang w:eastAsia="en-US"/>
          <w14:ligatures w14:val="standardContextual"/>
        </w:rPr>
        <w:t>afin de</w:t>
      </w:r>
      <w:r w:rsidRPr="001A6BB9">
        <w:rPr>
          <w:rFonts w:eastAsiaTheme="minorHAnsi"/>
          <w:color w:val="000000" w:themeColor="text1"/>
          <w:lang w:eastAsia="en-US"/>
          <w14:ligatures w14:val="standardContextual"/>
        </w:rPr>
        <w:t xml:space="preserve"> </w:t>
      </w:r>
      <w:r>
        <w:rPr>
          <w:rFonts w:eastAsiaTheme="minorHAnsi"/>
          <w:color w:val="000000" w:themeColor="text1"/>
          <w:lang w:eastAsia="en-US"/>
          <w14:ligatures w14:val="standardContextual"/>
        </w:rPr>
        <w:t>savoir si</w:t>
      </w:r>
      <w:r w:rsidRPr="001A6BB9">
        <w:rPr>
          <w:rFonts w:eastAsiaTheme="minorHAnsi"/>
          <w:color w:val="000000" w:themeColor="text1"/>
          <w:lang w:eastAsia="en-US"/>
          <w14:ligatures w14:val="standardContextual"/>
        </w:rPr>
        <w:t xml:space="preserve"> le caractère sexiste et genré des codes vestimentaires p</w:t>
      </w:r>
      <w:r>
        <w:rPr>
          <w:rFonts w:eastAsiaTheme="minorHAnsi"/>
          <w:color w:val="000000" w:themeColor="text1"/>
          <w:lang w:eastAsia="en-US"/>
          <w14:ligatures w14:val="standardContextual"/>
        </w:rPr>
        <w:t>eut</w:t>
      </w:r>
      <w:r w:rsidRPr="001A6BB9">
        <w:rPr>
          <w:rFonts w:eastAsiaTheme="minorHAnsi"/>
          <w:color w:val="000000" w:themeColor="text1"/>
          <w:lang w:eastAsia="en-US"/>
          <w14:ligatures w14:val="standardContextual"/>
        </w:rPr>
        <w:t xml:space="preserve"> </w:t>
      </w:r>
      <w:r w:rsidR="00C64F5A">
        <w:rPr>
          <w:rFonts w:eastAsiaTheme="minorHAnsi"/>
          <w:color w:val="000000" w:themeColor="text1"/>
          <w:lang w:eastAsia="en-US"/>
          <w14:ligatures w14:val="standardContextual"/>
        </w:rPr>
        <w:t>participer au maintien</w:t>
      </w:r>
      <w:r w:rsidRPr="001A6BB9">
        <w:rPr>
          <w:rFonts w:eastAsiaTheme="minorHAnsi"/>
          <w:color w:val="000000" w:themeColor="text1"/>
          <w:lang w:eastAsia="en-US"/>
          <w14:ligatures w14:val="standardContextual"/>
        </w:rPr>
        <w:t xml:space="preserve"> de ces violences.  </w:t>
      </w:r>
    </w:p>
    <w:p w14:paraId="23238D0E"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25E71CDE"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i/>
          <w:iCs/>
          <w:color w:val="000000" w:themeColor="text1"/>
        </w:rPr>
      </w:pPr>
      <w:r w:rsidRPr="001A6BB9">
        <w:rPr>
          <w:i/>
          <w:iCs/>
          <w:color w:val="000000" w:themeColor="text1"/>
        </w:rPr>
        <w:t>4.2 Approche théorique et description des concepts</w:t>
      </w:r>
    </w:p>
    <w:p w14:paraId="2E4B2EC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 xml:space="preserve">Le concept de la culture du viol, mobilisé à travers l’approche féministe, constitue le cadre d’analyse central de cette recherche. Cette approche permettra de comprendre de quelle manière certaines politiques vestimentaires scolaires (x) peuvent participer à la reproduction des violences sexuelles (y) et aux inégalités entre les sexes. </w:t>
      </w:r>
    </w:p>
    <w:p w14:paraId="154DDEEF"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676E4679"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 xml:space="preserve">Issu du mouvement féministe des années 1970 aux États-Unis (Ricci, 2025), le concept de culture du viol peut être défini comme étant une culture sociale dans lequel les violences sexuelles sont normalisées et justifiées à travers des comportements, des discours et des croyances (ONU Femmes, 2019). Elle favorise les inégalités entre les sexes et s’enracine dans des rapports </w:t>
      </w:r>
      <w:r w:rsidRPr="001A6BB9">
        <w:rPr>
          <w:color w:val="000000" w:themeColor="text1"/>
        </w:rPr>
        <w:lastRenderedPageBreak/>
        <w:t xml:space="preserve">patriarcaux, de pouvoir et de contrôle, qui influencent la manière dont nous pensons, parlons et structurons notre société (ONU Femmes, 2019). Cette culture contribue, entre autres, à favoriser les dimensions que nous analyserons, soit le rejet de la responsabilité des violences sexuelles sur les victimes (Suarez et </w:t>
      </w:r>
      <w:proofErr w:type="spellStart"/>
      <w:r w:rsidRPr="001A6BB9">
        <w:rPr>
          <w:color w:val="000000" w:themeColor="text1"/>
        </w:rPr>
        <w:t>Gadalla</w:t>
      </w:r>
      <w:proofErr w:type="spellEnd"/>
      <w:r w:rsidRPr="001A6BB9">
        <w:rPr>
          <w:color w:val="000000" w:themeColor="text1"/>
        </w:rPr>
        <w:t xml:space="preserve">, 2010), le contrôle du corps des filles en avantageant les intérêts masculins (Ricci, 2025) et à entretenir certains mythes, tels que celui selon lequel les hommes auraient une sexualité incontrôlable (Ricci, 2025). </w:t>
      </w:r>
    </w:p>
    <w:p w14:paraId="0C926D05"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686D2338"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 xml:space="preserve">Dans le contexte scolaire, la culture du viol pourrait, par exemple, se manifester par des règlements qui sexualisent le corps des filles ou leur attribuent la responsabilité de déranger les garçons. En favorisant la capacité des filles à devenir agente de leur sexualité (Lang, 2011), en considérant l’expérience personnelle de victimisation des victimes (Kelly, 2019) et en refusant de responsabiliser les victimes (Ricci, 2025), l’approche féministe permet l’analyse des codes vestimentaires sous les indicateurs de l’égalité des sexes, des règles reproduisant un rapport de pouvoir ainsi que le discours de responsabilisation de la victime. </w:t>
      </w:r>
    </w:p>
    <w:p w14:paraId="3DED0358"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48A6254E" w14:textId="7292158A"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 xml:space="preserve">Les résultats anticipés suggèrent que les politiques incluront un nombre important de règles visant spécifiquement des vêtements traditionnellement associés aux filles. Ce constat </w:t>
      </w:r>
      <w:r w:rsidR="009C0E01">
        <w:rPr>
          <w:color w:val="000000" w:themeColor="text1"/>
        </w:rPr>
        <w:t>propose</w:t>
      </w:r>
      <w:r w:rsidRPr="001A6BB9">
        <w:rPr>
          <w:color w:val="000000" w:themeColor="text1"/>
        </w:rPr>
        <w:t xml:space="preserve"> l’hypothèse qu’il est donc possible que les politiques vestimentaires contribuent à la reproduction des mythes associés à la culture du viol.</w:t>
      </w:r>
    </w:p>
    <w:p w14:paraId="28F1EF1D"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646EF3D7"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u w:val="single"/>
        </w:rPr>
      </w:pPr>
      <w:r w:rsidRPr="001A6BB9">
        <w:rPr>
          <w:b/>
          <w:bCs/>
          <w:color w:val="000000" w:themeColor="text1"/>
          <w:u w:val="single"/>
        </w:rPr>
        <w:t>5- Méthodologie</w:t>
      </w:r>
    </w:p>
    <w:p w14:paraId="0F8D63D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rPr>
      </w:pPr>
    </w:p>
    <w:p w14:paraId="3E3ADAD6"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tab/>
        <w:t xml:space="preserve">L’analyse sera adoptée comme projet pour cette recherche. La méthodologie utilisée pour la recension des écrits est une analyse documentaire descriptive. Cette analyse est basée sur la recherche dans la littérature d’informations exposées principalement dans une base de données multidisciplinaires, comme celles d’Érudit et </w:t>
      </w:r>
      <w:proofErr w:type="spellStart"/>
      <w:r w:rsidRPr="001A6BB9">
        <w:rPr>
          <w:color w:val="000000" w:themeColor="text1"/>
        </w:rPr>
        <w:t>Justor</w:t>
      </w:r>
      <w:proofErr w:type="spellEnd"/>
      <w:r w:rsidRPr="001A6BB9">
        <w:rPr>
          <w:color w:val="000000" w:themeColor="text1"/>
        </w:rPr>
        <w:t>, en utilisant les mots-clés suivants : adolescents/adolescents; agression sexuelle/</w:t>
      </w:r>
      <w:proofErr w:type="spellStart"/>
      <w:r w:rsidRPr="001A6BB9">
        <w:rPr>
          <w:color w:val="000000" w:themeColor="text1"/>
        </w:rPr>
        <w:t>sexual</w:t>
      </w:r>
      <w:proofErr w:type="spellEnd"/>
      <w:r w:rsidRPr="001A6BB9">
        <w:rPr>
          <w:color w:val="000000" w:themeColor="text1"/>
        </w:rPr>
        <w:t xml:space="preserve"> violence ; codes vestimentaires/</w:t>
      </w:r>
      <w:proofErr w:type="spellStart"/>
      <w:r w:rsidRPr="001A6BB9">
        <w:rPr>
          <w:color w:val="000000" w:themeColor="text1"/>
        </w:rPr>
        <w:t>dress</w:t>
      </w:r>
      <w:proofErr w:type="spellEnd"/>
      <w:r w:rsidRPr="001A6BB9">
        <w:rPr>
          <w:color w:val="000000" w:themeColor="text1"/>
        </w:rPr>
        <w:t xml:space="preserve"> code ; culture du viol/</w:t>
      </w:r>
      <w:proofErr w:type="spellStart"/>
      <w:r w:rsidRPr="001A6BB9">
        <w:rPr>
          <w:color w:val="000000" w:themeColor="text1"/>
        </w:rPr>
        <w:t>rape</w:t>
      </w:r>
      <w:proofErr w:type="spellEnd"/>
      <w:r w:rsidRPr="001A6BB9">
        <w:rPr>
          <w:color w:val="000000" w:themeColor="text1"/>
        </w:rPr>
        <w:t xml:space="preserve"> culture; école secondaire publique/high </w:t>
      </w:r>
      <w:proofErr w:type="spellStart"/>
      <w:r w:rsidRPr="001A6BB9">
        <w:rPr>
          <w:color w:val="000000" w:themeColor="text1"/>
        </w:rPr>
        <w:t>school</w:t>
      </w:r>
      <w:proofErr w:type="spellEnd"/>
      <w:r w:rsidRPr="001A6BB9">
        <w:rPr>
          <w:color w:val="000000" w:themeColor="text1"/>
        </w:rPr>
        <w:t xml:space="preserve"> ; politiques vestimentaires; Québec; uniforme ; victimes. Par la suite, des recherches ont été approfondies à l’intérieur même des bibliographies des articles choisis. </w:t>
      </w:r>
    </w:p>
    <w:p w14:paraId="72EA0706"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171C75BB" w14:textId="40DD1A43"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sidRPr="001A6BB9">
        <w:rPr>
          <w:color w:val="000000" w:themeColor="text1"/>
        </w:rPr>
        <w:lastRenderedPageBreak/>
        <w:tab/>
        <w:t xml:space="preserve">Parallèlement, une </w:t>
      </w:r>
      <w:r w:rsidR="00C568EF">
        <w:rPr>
          <w:color w:val="000000" w:themeColor="text1"/>
        </w:rPr>
        <w:t>recherche</w:t>
      </w:r>
      <w:r w:rsidRPr="001A6BB9">
        <w:rPr>
          <w:color w:val="000000" w:themeColor="text1"/>
        </w:rPr>
        <w:t xml:space="preserve"> documentaire a été réalisée à partir de sites internet d’écoles secondaires publiques du Québec, sélectionnées dans des régions administratives distinctes</w:t>
      </w:r>
      <w:r w:rsidR="003B33BD">
        <w:rPr>
          <w:color w:val="000000" w:themeColor="text1"/>
        </w:rPr>
        <w:t xml:space="preserve"> </w:t>
      </w:r>
      <w:r w:rsidR="003B33BD" w:rsidRPr="001A6BB9">
        <w:rPr>
          <w:color w:val="000000" w:themeColor="text1"/>
        </w:rPr>
        <w:t>(n= 5)</w:t>
      </w:r>
      <w:r w:rsidRPr="001A6BB9">
        <w:rPr>
          <w:color w:val="000000" w:themeColor="text1"/>
        </w:rPr>
        <w:t xml:space="preserve">. Les politiques vestimentaires ont été examinées afin d’identifier les vêtements interdits, la justification évoquée pour l’interdiction, la responsabilisation implicite des élèves, le traitement selon le genre ainsi que les interventions mises de l’avant par le personnel en vue de s’assurer du maintien de ses règles. Pour terminer, le dernier rapport du ministère de la Sécurité publique du Québec a été l’assise de l’analyse des infractions d’ordre sexuelles. </w:t>
      </w:r>
    </w:p>
    <w:p w14:paraId="39DD46D9"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78F3CA58"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u w:val="single"/>
        </w:rPr>
      </w:pPr>
      <w:r w:rsidRPr="001A6BB9">
        <w:rPr>
          <w:b/>
          <w:bCs/>
          <w:color w:val="000000" w:themeColor="text1"/>
          <w:u w:val="single"/>
        </w:rPr>
        <w:t xml:space="preserve">6- Analyse </w:t>
      </w:r>
    </w:p>
    <w:p w14:paraId="3BA6982A"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b/>
          <w:bCs/>
          <w:color w:val="000000" w:themeColor="text1"/>
        </w:rPr>
      </w:pPr>
    </w:p>
    <w:p w14:paraId="0128696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rFonts w:eastAsiaTheme="minorHAnsi"/>
          <w:i/>
          <w:iCs/>
          <w:color w:val="000000" w:themeColor="text1"/>
          <w:lang w:eastAsia="en-US"/>
          <w14:ligatures w14:val="standardContextual"/>
        </w:rPr>
        <w:t>6.1 Les agressions sexuelles; définition</w:t>
      </w:r>
    </w:p>
    <w:p w14:paraId="065FC48C"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C’est seulement en 1983 que le Canada a introduit le terme « agression sexuelle » dans son système judiciaire (Robert, 1990). </w:t>
      </w:r>
      <w:r>
        <w:rPr>
          <w:rFonts w:eastAsiaTheme="minorHAnsi"/>
          <w:color w:val="000000" w:themeColor="text1"/>
          <w:lang w:eastAsia="en-US"/>
          <w14:ligatures w14:val="standardContextual"/>
        </w:rPr>
        <w:t>De plus</w:t>
      </w:r>
      <w:r w:rsidRPr="001A6BB9">
        <w:rPr>
          <w:rFonts w:eastAsiaTheme="minorHAnsi"/>
          <w:color w:val="000000" w:themeColor="text1"/>
          <w:lang w:eastAsia="en-US"/>
          <w14:ligatures w14:val="standardContextual"/>
        </w:rPr>
        <w:t xml:space="preserve">, le Code criminel canadien ne reconnaissait pas les violences sexuelles d’un époux envers son épouse avant 1983 (Lachapelle et Gagné, 2025). Avant cette date, puisque les conjoints consentaient aux rapports sexuels en se mariant, le viol conjugal n’était pas puni (Lachapelle et Gagné, 2025). Ce constat historique souligne qu’il y a à peine 42 ans, le Canada maintenait le stéréotype social de peur que seuls les viols fussent exécutés par des inconnus, et ce, loin de la chambre à coucher (Rousseau et al., 2020). </w:t>
      </w:r>
    </w:p>
    <w:p w14:paraId="2303F093"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693101D7" w14:textId="40098DB1"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Aujourd’hui, le ministère de la Sécurité publique du Québec (2024) définit les agressions sexuelles comme un contact de nature sexuel qui a été commis sans le consentement de la personne. Puisque cette recherche s’intéresse à une population adolescente, il est important de souligner que depuis 2007, l’âge du consentement est passé de 14 à 16 ans au Québec</w:t>
      </w:r>
      <w:r w:rsidR="00CB5051">
        <w:rPr>
          <w:rFonts w:eastAsiaTheme="minorHAnsi"/>
          <w:color w:val="000000" w:themeColor="text1"/>
          <w:lang w:eastAsia="en-US"/>
          <w14:ligatures w14:val="standardContextual"/>
        </w:rPr>
        <w:t xml:space="preserve"> </w:t>
      </w:r>
      <w:r w:rsidR="00CB5051" w:rsidRPr="001A6BB9">
        <w:rPr>
          <w:rFonts w:eastAsiaTheme="minorHAnsi"/>
          <w:color w:val="000000" w:themeColor="text1"/>
          <w:lang w:eastAsia="en-US"/>
          <w14:ligatures w14:val="standardContextual"/>
        </w:rPr>
        <w:t>(Hébert et al., 2011)</w:t>
      </w:r>
      <w:r w:rsidRPr="001A6BB9">
        <w:rPr>
          <w:rFonts w:eastAsiaTheme="minorHAnsi"/>
          <w:color w:val="000000" w:themeColor="text1"/>
          <w:lang w:eastAsia="en-US"/>
          <w14:ligatures w14:val="standardContextual"/>
        </w:rPr>
        <w:t xml:space="preserve">. Il existe des exceptions dans la loi pour les jeunes de 14 et 15 ans et ceux de 12 et 13 ans (Hébert et al., 2011). Les jeunes âgés </w:t>
      </w:r>
      <w:r>
        <w:rPr>
          <w:rFonts w:eastAsiaTheme="minorHAnsi"/>
          <w:color w:val="000000" w:themeColor="text1"/>
          <w:lang w:eastAsia="en-US"/>
          <w14:ligatures w14:val="standardContextual"/>
        </w:rPr>
        <w:t>de</w:t>
      </w:r>
      <w:r w:rsidRPr="001A6BB9">
        <w:rPr>
          <w:rFonts w:eastAsiaTheme="minorHAnsi"/>
          <w:color w:val="000000" w:themeColor="text1"/>
          <w:lang w:eastAsia="en-US"/>
          <w14:ligatures w14:val="standardContextual"/>
        </w:rPr>
        <w:t xml:space="preserve"> 14 </w:t>
      </w:r>
      <w:r w:rsidR="00A85779">
        <w:rPr>
          <w:rFonts w:eastAsiaTheme="minorHAnsi"/>
          <w:color w:val="000000" w:themeColor="text1"/>
          <w:lang w:eastAsia="en-US"/>
          <w14:ligatures w14:val="standardContextual"/>
        </w:rPr>
        <w:t>et</w:t>
      </w:r>
      <w:r w:rsidRPr="001A6BB9">
        <w:rPr>
          <w:rFonts w:eastAsiaTheme="minorHAnsi"/>
          <w:color w:val="000000" w:themeColor="text1"/>
          <w:lang w:eastAsia="en-US"/>
          <w14:ligatures w14:val="standardContextual"/>
        </w:rPr>
        <w:t xml:space="preserve"> 15 ans peuvent consentir à une activité sexuelle si l’écart d’âge est moins de cinq ans et, pour les 12 et 13 ans, l’écart maximal doit être de deux ans (Hébert et al., 2011).</w:t>
      </w:r>
    </w:p>
    <w:p w14:paraId="182093C6"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34D1DC1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Les agressions sexuelles sont définies en deux catégories (</w:t>
      </w:r>
      <w:proofErr w:type="gramStart"/>
      <w:r w:rsidRPr="001A6BB9">
        <w:rPr>
          <w:rFonts w:eastAsiaTheme="minorHAnsi"/>
          <w:color w:val="000000" w:themeColor="text1"/>
          <w:lang w:eastAsia="en-US"/>
          <w14:ligatures w14:val="standardContextual"/>
        </w:rPr>
        <w:t>Ministère</w:t>
      </w:r>
      <w:proofErr w:type="gramEnd"/>
      <w:r w:rsidRPr="001A6BB9">
        <w:rPr>
          <w:rFonts w:eastAsiaTheme="minorHAnsi"/>
          <w:color w:val="000000" w:themeColor="text1"/>
          <w:lang w:eastAsia="en-US"/>
          <w14:ligatures w14:val="standardContextual"/>
        </w:rPr>
        <w:t xml:space="preserve"> de la Sécurité publique, 2024). La première catégorie fait référence aux agressions sexuelles et elle comporte trois niveaux (</w:t>
      </w:r>
      <w:proofErr w:type="gramStart"/>
      <w:r>
        <w:rPr>
          <w:rFonts w:eastAsiaTheme="minorHAnsi"/>
          <w:color w:val="000000" w:themeColor="text1"/>
          <w:lang w:eastAsia="en-US"/>
          <w14:ligatures w14:val="standardContextual"/>
        </w:rPr>
        <w:t>Ministère</w:t>
      </w:r>
      <w:proofErr w:type="gramEnd"/>
      <w:r>
        <w:rPr>
          <w:rFonts w:eastAsiaTheme="minorHAnsi"/>
          <w:color w:val="000000" w:themeColor="text1"/>
          <w:lang w:eastAsia="en-US"/>
          <w14:ligatures w14:val="standardContextual"/>
        </w:rPr>
        <w:t xml:space="preserve"> de la S</w:t>
      </w:r>
      <w:r w:rsidRPr="001A6BB9">
        <w:rPr>
          <w:rFonts w:eastAsiaTheme="minorHAnsi"/>
          <w:color w:val="000000" w:themeColor="text1"/>
          <w:lang w:eastAsia="en-US"/>
          <w14:ligatures w14:val="standardContextual"/>
        </w:rPr>
        <w:t xml:space="preserve">écurité publique du Québec, 2024). Le premier niveau d’agression sexuelle ne </w:t>
      </w:r>
      <w:r w:rsidRPr="001A6BB9">
        <w:rPr>
          <w:rFonts w:eastAsiaTheme="minorHAnsi"/>
          <w:color w:val="000000" w:themeColor="text1"/>
          <w:lang w:eastAsia="en-US"/>
          <w14:ligatures w14:val="standardContextual"/>
        </w:rPr>
        <w:lastRenderedPageBreak/>
        <w:t>cause pas de blessure corporelle à sa victime (</w:t>
      </w:r>
      <w:proofErr w:type="gramStart"/>
      <w:r>
        <w:rPr>
          <w:rFonts w:eastAsiaTheme="minorHAnsi"/>
          <w:color w:val="000000" w:themeColor="text1"/>
          <w:lang w:eastAsia="en-US"/>
          <w14:ligatures w14:val="standardContextual"/>
        </w:rPr>
        <w:t>M</w:t>
      </w:r>
      <w:r w:rsidRPr="001A6BB9">
        <w:rPr>
          <w:rFonts w:eastAsiaTheme="minorHAnsi"/>
          <w:color w:val="000000" w:themeColor="text1"/>
          <w:lang w:eastAsia="en-US"/>
          <w14:ligatures w14:val="standardContextual"/>
        </w:rPr>
        <w:t>inistère</w:t>
      </w:r>
      <w:proofErr w:type="gramEnd"/>
      <w:r w:rsidRPr="001A6BB9">
        <w:rPr>
          <w:rFonts w:eastAsiaTheme="minorHAnsi"/>
          <w:color w:val="000000" w:themeColor="text1"/>
          <w:lang w:eastAsia="en-US"/>
          <w14:ligatures w14:val="standardContextual"/>
        </w:rPr>
        <w:t xml:space="preserve"> de la Sécurité publique, 2024). Au deuxième niveau, l’agression sexuelle fait référence à l’utilisation ou la menace d’utilisation d’une arme (</w:t>
      </w:r>
      <w:proofErr w:type="gramStart"/>
      <w:r w:rsidRPr="001A6BB9">
        <w:rPr>
          <w:rFonts w:eastAsiaTheme="minorHAnsi"/>
          <w:color w:val="000000" w:themeColor="text1"/>
          <w:lang w:eastAsia="en-US"/>
          <w14:ligatures w14:val="standardContextual"/>
        </w:rPr>
        <w:t>Ministère</w:t>
      </w:r>
      <w:proofErr w:type="gramEnd"/>
      <w:r w:rsidRPr="001A6BB9">
        <w:rPr>
          <w:rFonts w:eastAsiaTheme="minorHAnsi"/>
          <w:color w:val="000000" w:themeColor="text1"/>
          <w:lang w:eastAsia="en-US"/>
          <w14:ligatures w14:val="standardContextual"/>
        </w:rPr>
        <w:t xml:space="preserve"> de la Sécurité publique, 2024). Finalement, le troisième niveau implique une agression sexuelle avec blessure corporelle ou lorsque la vie de la personne est en danger (</w:t>
      </w:r>
      <w:proofErr w:type="gramStart"/>
      <w:r w:rsidRPr="001A6BB9">
        <w:rPr>
          <w:rFonts w:eastAsiaTheme="minorHAnsi"/>
          <w:color w:val="000000" w:themeColor="text1"/>
          <w:lang w:eastAsia="en-US"/>
          <w14:ligatures w14:val="standardContextual"/>
        </w:rPr>
        <w:t>Ministère</w:t>
      </w:r>
      <w:proofErr w:type="gramEnd"/>
      <w:r w:rsidRPr="001A6BB9">
        <w:rPr>
          <w:rFonts w:eastAsiaTheme="minorHAnsi"/>
          <w:color w:val="000000" w:themeColor="text1"/>
          <w:lang w:eastAsia="en-US"/>
          <w14:ligatures w14:val="standardContextual"/>
        </w:rPr>
        <w:t xml:space="preserve"> de la Sécurité publique, 2024). La deuxième catégorie de groupe d’agression sexuelle fait référence aux infractions d’ordre sexuelles (</w:t>
      </w:r>
      <w:proofErr w:type="gramStart"/>
      <w:r w:rsidRPr="001A6BB9">
        <w:rPr>
          <w:rFonts w:eastAsiaTheme="minorHAnsi"/>
          <w:color w:val="000000" w:themeColor="text1"/>
          <w:lang w:eastAsia="en-US"/>
          <w14:ligatures w14:val="standardContextual"/>
        </w:rPr>
        <w:t>Ministère</w:t>
      </w:r>
      <w:proofErr w:type="gramEnd"/>
      <w:r w:rsidRPr="001A6BB9">
        <w:rPr>
          <w:rFonts w:eastAsiaTheme="minorHAnsi"/>
          <w:color w:val="000000" w:themeColor="text1"/>
          <w:lang w:eastAsia="en-US"/>
          <w14:ligatures w14:val="standardContextual"/>
        </w:rPr>
        <w:t xml:space="preserve"> de la Sécurité publique, 2024). </w:t>
      </w:r>
    </w:p>
    <w:p w14:paraId="71F41013"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3B19A6EF"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Ensuite, </w:t>
      </w:r>
      <w:r>
        <w:rPr>
          <w:rFonts w:eastAsiaTheme="minorHAnsi"/>
          <w:color w:val="000000" w:themeColor="text1"/>
          <w:lang w:eastAsia="en-US"/>
          <w14:ligatures w14:val="standardContextual"/>
        </w:rPr>
        <w:t xml:space="preserve">le </w:t>
      </w:r>
      <w:r w:rsidRPr="001A6BB9">
        <w:rPr>
          <w:rFonts w:eastAsiaTheme="minorHAnsi"/>
          <w:color w:val="000000" w:themeColor="text1"/>
          <w:lang w:eastAsia="en-US"/>
          <w14:ligatures w14:val="standardContextual"/>
        </w:rPr>
        <w:t xml:space="preserve">ministère de la Sécurité publique (2024) définit une « affaire fondée » (p.19) comme étant une plainte pour infraction criminelle qui a eu lieu, qui a été tentée ou sur laquelle il n’existe aucune preuve contraire à la suite de l’enquête policière. </w:t>
      </w:r>
    </w:p>
    <w:p w14:paraId="6225E63B"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62FE433E"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rFonts w:eastAsiaTheme="minorHAnsi"/>
          <w:i/>
          <w:iCs/>
          <w:color w:val="000000" w:themeColor="text1"/>
          <w:lang w:eastAsia="en-US"/>
          <w14:ligatures w14:val="standardContextual"/>
        </w:rPr>
        <w:t>6.1.1 Les agressions sexuelles; portrait québécois</w:t>
      </w:r>
    </w:p>
    <w:p w14:paraId="4F668B3F"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En 1990, pour donner suite à la réforme des lois en matière d’agression sexuelle de plusieurs pays, Robert a soulevé dans son rapport de recherche une augmentation du nombre d’infractions sexuelles entre 1983 et 1988. Robert (1990) dénombrait à l’époque une hausse de « 127% » (p. 7). Une tendance qui, visiblement, s’est maintenue avec les années, comme en témoigne la littérature actuelle. En effet, le plus récent portrait sur les infractions sexuelles au Québec recensé dans la littérature soulève une hausse des infractions d’ordre sexuelles depuis 2013 (</w:t>
      </w:r>
      <w:proofErr w:type="gramStart"/>
      <w:r w:rsidRPr="001A6BB9">
        <w:rPr>
          <w:rFonts w:eastAsiaTheme="minorHAnsi"/>
          <w:color w:val="000000" w:themeColor="text1"/>
          <w:lang w:eastAsia="en-US"/>
          <w14:ligatures w14:val="standardContextual"/>
        </w:rPr>
        <w:t>Ministère</w:t>
      </w:r>
      <w:proofErr w:type="gramEnd"/>
      <w:r w:rsidRPr="001A6BB9">
        <w:rPr>
          <w:rFonts w:eastAsiaTheme="minorHAnsi"/>
          <w:color w:val="000000" w:themeColor="text1"/>
          <w:lang w:eastAsia="en-US"/>
          <w14:ligatures w14:val="standardContextual"/>
        </w:rPr>
        <w:t xml:space="preserve"> de la Sécurité publique, 2024). En 2022, le ministère de la Sécurité publique souligne dans son rapport un total de « 12 102 » infractions sexuelles fondées (2024, p. 20). On observe aussi une augmentation de « 3,1 % » des infractions sexuelles déclarées à la police en 2022 (Ministère de la Sécurité publique, 2024, p. 20). La grande majorité des infractions sexuelles déclarées sont des infractions de niveau 1 et elles ont eu une augmentation de « 416 infractions entre 2021-2022 » (Ministère de la Sécurité publique, 2024, p. 20). Le rapport fait état d’une hausse de « 50% » des infractions d’exploitation sexuelle d’adolescent ou d’une personne handicapée comparativement à 2021 (Ministère de la Sécurité publique, 2024, p. 15). Bien que la majorité des infractions sexuelles aient eu lieu dans un lieu de résidence en 2022, il faut souligner que « 9,5% » des infractions sont survenues dans un établissement d’enseignement (Ministère de la Sécurité publique, 2024, p. 23). Ce constat est similaire à celui de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qui souligne que les agressions sexuelles ne sont pas principalement commises par des inconnus dans une ruelle. Enfin, selon les informations recueillies dans le rapport sur les infractions sexuelles du ministère de la Sécurité publique, un </w:t>
      </w:r>
      <w:r w:rsidRPr="001A6BB9">
        <w:rPr>
          <w:rFonts w:eastAsiaTheme="minorHAnsi"/>
          <w:color w:val="000000" w:themeColor="text1"/>
          <w:lang w:eastAsia="en-US"/>
          <w14:ligatures w14:val="standardContextual"/>
        </w:rPr>
        <w:lastRenderedPageBreak/>
        <w:t xml:space="preserve">profil de victimes peut être dépeint. La majorité des victimes d’agression sexuelle sont des femmes (soit « 89,2 % »), et elles sont âgées de 12 à 19 ans (Ministère de la Sécurité publique, 2024, p. 24). Le groupe d’âge le plus agressé sexuellement est celui âgé de 15 à 17 ans avec un taux d’agressions de niveau 1 à trois de « 566, 2 » pour 100 000 habitants (Ministère de la Sécurité publique, 2024, p. 25).  </w:t>
      </w:r>
    </w:p>
    <w:p w14:paraId="2BF8D50B"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0411C2B8"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Dans son rapport, le ministère de la Sécurité publique du Québec tient seulement compte des infractions criminelles déclarées aux instances policières. Au Canada, c’est un taux de déclaration de seulement « 6% » (Conseil du statut de la femme, 2025, p.12). Il en est de même aux États-Unis, où le taux de dénonciation n’est que de « 34% » (Truman et Langton, 2015, cités dans Rousseau et al., 2020, p. 1) ainsi qu’en Angleterre, où les violences sexuelles sont sous-représentées dans les statistiques officielles (Kelly, 2019). Dans ses recherches, Kelly (2019) souligne que le faible taux de dénonciations aux autorités peut s’expliquer par le fait que bien des formes de violences sexuelles ne sont pas considérées comme de la violence sexuelle. Pour cette chercheuse, « des regards, des gestes et des remarques » peuvent être vécus comme de la violence sexuelle par certaines femmes et peuvent être considérés comme une agression sexuelle (Kelly, 2019, p. 21). D’autres formes de violence sexuelle, telles que le harcèlement sexuel, sont rapportées dans des recherches, mais ne font pas partie des infractions sexuelles du Code criminel canadien (Lachapelle et al., 2024). L’étude PIECES</w:t>
      </w:r>
      <w:r>
        <w:rPr>
          <w:rFonts w:eastAsiaTheme="minorHAnsi"/>
          <w:color w:val="000000" w:themeColor="text1"/>
          <w:lang w:eastAsia="en-US"/>
          <w14:ligatures w14:val="standardContextual"/>
        </w:rPr>
        <w:t xml:space="preserve"> (Projet </w:t>
      </w:r>
      <w:proofErr w:type="spellStart"/>
      <w:r>
        <w:rPr>
          <w:rFonts w:eastAsiaTheme="minorHAnsi"/>
          <w:color w:val="000000" w:themeColor="text1"/>
          <w:lang w:eastAsia="en-US"/>
          <w14:ligatures w14:val="standardContextual"/>
        </w:rPr>
        <w:t>intercollégial</w:t>
      </w:r>
      <w:proofErr w:type="spellEnd"/>
      <w:r>
        <w:rPr>
          <w:rFonts w:eastAsiaTheme="minorHAnsi"/>
          <w:color w:val="000000" w:themeColor="text1"/>
          <w:lang w:eastAsia="en-US"/>
          <w14:ligatures w14:val="standardContextual"/>
        </w:rPr>
        <w:t xml:space="preserve"> d’étude sur le consentement, l’égalité et la sexualité)</w:t>
      </w:r>
      <w:r w:rsidRPr="001A6BB9">
        <w:rPr>
          <w:rFonts w:eastAsiaTheme="minorHAnsi"/>
          <w:color w:val="000000" w:themeColor="text1"/>
          <w:lang w:eastAsia="en-US"/>
          <w14:ligatures w14:val="standardContextual"/>
        </w:rPr>
        <w:t xml:space="preserve"> sur les violences sexuelles dans les milieux collégiaux, menée par Bergeron et ses collaborateurs en 2020, en est un bon exemple. Cette étude prend en compte le harcèlement sexuel en l’intégrant dans la définition des violences sexuelles. Elle inclut aux notions de harcèlements sexuels des commentaires déplacés sur le corps, des conversations non désirées sur le sexe, des gestes à connotation sexuelle non désirés, ainsi que la coercition sexuelle, telle que l’extorsion de faveurs sexuelles ou les conséquences négatives en cas de refus.</w:t>
      </w:r>
    </w:p>
    <w:p w14:paraId="3867B767"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7DF3CAD9" w14:textId="704104AC"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Dans leur travail de recherche, Rousseau et ses collaboratrices (2020) proposent elles aussi des explications sur les causes du faible taux de dénonciation des victimes d’agression sexuelle. D’abord, une explication serait que les victimes d’agressions sexuelles n’identifient pas leur agression comme étant une violence sexuelle (Rousseau et al., 2020). C’est-à-dire que les victimes ont tendance à banaliser leurs agressions. Rousseau et ses collègues (2020) ont recensé des études </w:t>
      </w:r>
      <w:r w:rsidRPr="001A6BB9">
        <w:rPr>
          <w:rFonts w:eastAsiaTheme="minorHAnsi"/>
          <w:color w:val="000000" w:themeColor="text1"/>
          <w:lang w:eastAsia="en-US"/>
          <w14:ligatures w14:val="standardContextual"/>
        </w:rPr>
        <w:lastRenderedPageBreak/>
        <w:t>démontrant que « 43% » des femmes ayant eu des relations sexuelles non consensuelles ne les ont pas qualifiées comme un viol (p.1). Selon elles, le mythe de la culpabilisation de la victime et de la déculpabilisation de l’agresseur est si profondément ancré dans nos valeurs sociales que les victimes de violence sexuelle ont tendance à minimiser ce qu’elles ont subi (Rousseau et al., 2020). C’est-à-dire que</w:t>
      </w:r>
      <w:r w:rsidR="00913E28">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 puisque certaines violences sexuelles sont constamment reproduites auprès des femmes, soit que toutes les femmes doivent faire face un jour ou l’autre à la violence sexuelle, elles deviennent donc normalisées en raison de leur fréquence (Kelly, 2019</w:t>
      </w:r>
      <w:r>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 xml:space="preserve">Rousseau et al., 2020). L’étude souligne qu’en l’absence de violence physique ou de pénétration lors d’une agression sexuelle, les victimes ont tendance à minimiser la violence dont elles ont été l’objet (Rousseau et al., 2020). </w:t>
      </w:r>
    </w:p>
    <w:p w14:paraId="0CB9DE45"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5190C512" w14:textId="00CBBF42"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Ensuite,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attirent l’attention dans leur recherche sur une autre explication du faible taux de dénonciation des violences sexuelles. Pour elles, le faible taux de dénonciation des victimes aux autorités est dû au manque de soutien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Ce manque de soutien se manifeste, entre autres, par des comportements et des attitudes de rejet de la culpabilité sur les victimes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Certes, le manque de soutien est bien présent via les réseaux sociaux, le système de justice, les professionnels de la santé et par la population générale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Pour faire un lien avec les recherches de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il suffit de se remémorer du débat social entourant </w:t>
      </w:r>
      <w:proofErr w:type="spellStart"/>
      <w:r w:rsidRPr="001A6BB9">
        <w:rPr>
          <w:rFonts w:eastAsiaTheme="minorHAnsi"/>
          <w:color w:val="000000" w:themeColor="text1"/>
          <w:lang w:eastAsia="en-US"/>
          <w14:ligatures w14:val="standardContextual"/>
        </w:rPr>
        <w:t>Ghomeshi</w:t>
      </w:r>
      <w:proofErr w:type="spellEnd"/>
      <w:r w:rsidRPr="001A6BB9">
        <w:rPr>
          <w:rFonts w:eastAsiaTheme="minorHAnsi"/>
          <w:color w:val="000000" w:themeColor="text1"/>
          <w:lang w:eastAsia="en-US"/>
          <w14:ligatures w14:val="standardContextual"/>
        </w:rPr>
        <w:t xml:space="preserve">, accusé de violence sexuelle </w:t>
      </w:r>
      <w:r w:rsidR="00BD2BCA">
        <w:rPr>
          <w:rFonts w:eastAsiaTheme="minorHAnsi"/>
          <w:color w:val="000000" w:themeColor="text1"/>
          <w:lang w:eastAsia="en-US"/>
          <w14:ligatures w14:val="standardContextual"/>
        </w:rPr>
        <w:t xml:space="preserve">au Canada </w:t>
      </w:r>
      <w:r w:rsidRPr="001A6BB9">
        <w:rPr>
          <w:rFonts w:eastAsiaTheme="minorHAnsi"/>
          <w:color w:val="000000" w:themeColor="text1"/>
          <w:lang w:eastAsia="en-US"/>
          <w14:ligatures w14:val="standardContextual"/>
        </w:rPr>
        <w:t xml:space="preserve">(Mehta, 2019). Le verdict de non-culpabilité de </w:t>
      </w:r>
      <w:proofErr w:type="spellStart"/>
      <w:r w:rsidRPr="001A6BB9">
        <w:rPr>
          <w:rFonts w:eastAsiaTheme="minorHAnsi"/>
          <w:color w:val="000000" w:themeColor="text1"/>
          <w:lang w:eastAsia="en-US"/>
          <w14:ligatures w14:val="standardContextual"/>
        </w:rPr>
        <w:t>Ghomeshi</w:t>
      </w:r>
      <w:proofErr w:type="spellEnd"/>
      <w:r w:rsidRPr="001A6BB9">
        <w:rPr>
          <w:rFonts w:eastAsiaTheme="minorHAnsi"/>
          <w:color w:val="000000" w:themeColor="text1"/>
          <w:lang w:eastAsia="en-US"/>
          <w14:ligatures w14:val="standardContextual"/>
        </w:rPr>
        <w:t xml:space="preserve"> en 2016 a provoqué une contestation publique, puisque, durant le contre-interrogatoire de l’accusé, la crédibilité et la fiabilité du témoignage des victimes ont été malmenées (Mehta, 2019). Force est de constater que, dans son approche, le système judiciaire peut manquer de sensibilité et de soutien envers les victimes.</w:t>
      </w:r>
    </w:p>
    <w:p w14:paraId="39E532BC"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28D81F0E"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Finalement, malgré le fait que le ministère de la Sécurité du Québec ne fait aucune mention spécifique sur les agressions sexuelles envers la communauté LGBTQ+ (Lesbienne, gay, bisexuel, transgenre, queer et autre identité), Doucet et ses collaborateurs (2024) soulignent un taux important de violence sexuelle dans cette communauté, surtout chez les jeunes. Qui plus est, les groupes appartenant aux minorités sexuelles et de genre sont davantage victime de violence sexuelle que les personnes cisgenres (Carignan-Allard et Bergeron, 2023). Le Conseil du statut de </w:t>
      </w:r>
      <w:r w:rsidRPr="001A6BB9">
        <w:rPr>
          <w:rFonts w:eastAsiaTheme="minorHAnsi"/>
          <w:color w:val="000000" w:themeColor="text1"/>
          <w:lang w:eastAsia="en-US"/>
          <w14:ligatures w14:val="standardContextual"/>
        </w:rPr>
        <w:lastRenderedPageBreak/>
        <w:t xml:space="preserve">la femme (2025) met en évidence que les femmes d’une orientation sexuelle différente de l’hétérosexualité ainsi qu’une appartenance à un autre genre que celui du cisgenre, étaient davantage victimes de violence sexuelle que les femmes non minoritaires dans une proportion de « 41% contre 25% » (p.10). </w:t>
      </w:r>
    </w:p>
    <w:p w14:paraId="062C1DE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6582E048"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rFonts w:eastAsiaTheme="minorHAnsi"/>
          <w:i/>
          <w:iCs/>
          <w:color w:val="000000" w:themeColor="text1"/>
          <w:lang w:eastAsia="en-US"/>
          <w14:ligatures w14:val="standardContextual"/>
        </w:rPr>
        <w:t>6.2 Les codes vestimentaires dans les écoles secondaires publiques du Québec </w:t>
      </w:r>
      <w:r w:rsidRPr="001A6BB9">
        <w:rPr>
          <w:rFonts w:eastAsiaTheme="minorHAnsi"/>
          <w:color w:val="000000" w:themeColor="text1"/>
          <w:lang w:eastAsia="en-US"/>
          <w14:ligatures w14:val="standardContextual"/>
        </w:rPr>
        <w:t xml:space="preserve">; </w:t>
      </w:r>
      <w:r w:rsidRPr="001A6BB9">
        <w:rPr>
          <w:rFonts w:eastAsiaTheme="minorHAnsi"/>
          <w:i/>
          <w:iCs/>
          <w:color w:val="000000" w:themeColor="text1"/>
          <w:lang w:eastAsia="en-US"/>
          <w14:ligatures w14:val="standardContextual"/>
        </w:rPr>
        <w:t>le fondement</w:t>
      </w:r>
    </w:p>
    <w:p w14:paraId="68E3160D" w14:textId="6E743C56"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C’est dans le milieu des années 2000 que le Québec a renforci la mise en place de code vestimentaire dans les écoles secondaires en venant proscrire certains vêtements perçus comme étant trop axé sur la sexualité (Mercier, 2020). Selon Mercier (2020), la société québécoise de l’époque était inquiète pour les filles, puisqu’elles adoptaient un</w:t>
      </w:r>
      <w:r>
        <w:rPr>
          <w:rFonts w:eastAsiaTheme="minorHAnsi"/>
          <w:color w:val="000000" w:themeColor="text1"/>
          <w:lang w:eastAsia="en-US"/>
          <w14:ligatures w14:val="standardContextual"/>
        </w:rPr>
        <w:t>e</w:t>
      </w:r>
      <w:r w:rsidRPr="001A6BB9">
        <w:rPr>
          <w:rFonts w:eastAsiaTheme="minorHAnsi"/>
          <w:color w:val="000000" w:themeColor="text1"/>
          <w:lang w:eastAsia="en-US"/>
          <w14:ligatures w14:val="standardContextual"/>
        </w:rPr>
        <w:t xml:space="preserve"> mode vestimentaire axée sur la sexualité. Ainsi, cette mode était jugée par certains groupes sociaux de l’époque, comme étant problématique, puisqu’elle présentait une sexualité précoce, une marchandisation du corps des femmes, l’absence d’égalité entre les sexes et la crainte que les filles soient victimes de violences sexuelles (Mercier, 2020). Il faut toutefois souligner que, même si, dans le milieu des années 2000, il y a eu un renforcement des politiques vestimentaires, il existait déjà des politiques où certains vêtements jugés trop axés sur la sexualité étaient prohibés. En effet, Otis et Brunelle (1995) mettent en évidence une liste de vêtements prohibés de l’époque. On </w:t>
      </w:r>
      <w:r w:rsidR="00175782">
        <w:rPr>
          <w:rFonts w:eastAsiaTheme="minorHAnsi"/>
          <w:color w:val="000000" w:themeColor="text1"/>
          <w:lang w:eastAsia="en-US"/>
          <w14:ligatures w14:val="standardContextual"/>
        </w:rPr>
        <w:t>interdisait</w:t>
      </w:r>
      <w:r w:rsidRPr="001A6BB9">
        <w:rPr>
          <w:rFonts w:eastAsiaTheme="minorHAnsi"/>
          <w:color w:val="000000" w:themeColor="text1"/>
          <w:lang w:eastAsia="en-US"/>
          <w14:ligatures w14:val="standardContextual"/>
        </w:rPr>
        <w:t xml:space="preserve"> notamment le port du « gilet-bedaine, couvre-chef, camisole, cuissard, collant, mini-jupe, vêtements de chasse ou de type arm</w:t>
      </w:r>
      <w:r>
        <w:rPr>
          <w:rFonts w:eastAsiaTheme="minorHAnsi"/>
          <w:color w:val="000000" w:themeColor="text1"/>
          <w:lang w:eastAsia="en-US"/>
          <w14:ligatures w14:val="standardContextual"/>
        </w:rPr>
        <w:t>é</w:t>
      </w:r>
      <w:r w:rsidRPr="001A6BB9">
        <w:rPr>
          <w:rFonts w:eastAsiaTheme="minorHAnsi"/>
          <w:color w:val="000000" w:themeColor="text1"/>
          <w:lang w:eastAsia="en-US"/>
          <w14:ligatures w14:val="standardContextual"/>
        </w:rPr>
        <w:t xml:space="preserve"> » (Otis et Brunelle, 1995, p.607). </w:t>
      </w:r>
    </w:p>
    <w:p w14:paraId="6AD1E02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1090A2BE"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Or, les politiques vestimentaires au Québec sont adoptées par les conseils d’établissement (Carpentier, 2005). Puisque chaque école détient son propre conseil d’établissement, les politiques vestimentaires sont donc sujettes à varier d’une école à une autre (Otis et Brunelle, 1995). Lesdites politiques vestimentaires sont créées par un conseil de personnes qui ne possèdent pas de formation juridique (Otis et Brunelle, 1995). En effet, selon l’article 42 de la Loi sur l’instruction publique, les personnes qui constituent les conseils d’établissements sont majoritairement des parents et des membres du personnel ainsi que quelques élèves et membres de la communauté (Carpentier, 2005). </w:t>
      </w:r>
    </w:p>
    <w:p w14:paraId="17C00873"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3D10EACF"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rFonts w:eastAsiaTheme="minorHAnsi"/>
          <w:i/>
          <w:iCs/>
          <w:color w:val="000000" w:themeColor="text1"/>
          <w:lang w:eastAsia="en-US"/>
          <w14:ligatures w14:val="standardContextual"/>
        </w:rPr>
        <w:t>6.2.1 Les codes vestimentaires dans les écoles secondaires publiques du Québec ;</w:t>
      </w:r>
      <w:r w:rsidRPr="001A6BB9">
        <w:rPr>
          <w:rFonts w:eastAsiaTheme="minorHAnsi"/>
          <w:color w:val="000000" w:themeColor="text1"/>
          <w:lang w:eastAsia="en-US"/>
          <w14:ligatures w14:val="standardContextual"/>
        </w:rPr>
        <w:t xml:space="preserve"> </w:t>
      </w:r>
      <w:r w:rsidRPr="001A6BB9">
        <w:rPr>
          <w:rFonts w:eastAsiaTheme="minorHAnsi"/>
          <w:i/>
          <w:iCs/>
          <w:color w:val="000000" w:themeColor="text1"/>
          <w:lang w:eastAsia="en-US"/>
          <w14:ligatures w14:val="standardContextual"/>
        </w:rPr>
        <w:t>définition</w:t>
      </w:r>
    </w:p>
    <w:p w14:paraId="4D0CE888" w14:textId="27A892AE"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Tout d’abord, les </w:t>
      </w:r>
      <w:r w:rsidR="00264DBC">
        <w:rPr>
          <w:rFonts w:eastAsiaTheme="minorHAnsi"/>
          <w:color w:val="000000" w:themeColor="text1"/>
          <w:lang w:eastAsia="en-US"/>
          <w14:ligatures w14:val="standardContextual"/>
        </w:rPr>
        <w:t>codes</w:t>
      </w:r>
      <w:r w:rsidRPr="001A6BB9">
        <w:rPr>
          <w:rFonts w:eastAsiaTheme="minorHAnsi"/>
          <w:color w:val="000000" w:themeColor="text1"/>
          <w:lang w:eastAsia="en-US"/>
          <w14:ligatures w14:val="standardContextual"/>
        </w:rPr>
        <w:t xml:space="preserve"> vestimentaires sont des ensembles de directives qui autorisent ou proscrivent certaines tenues dans les établissements scolaires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2005, </w:t>
      </w:r>
      <w:r>
        <w:rPr>
          <w:rFonts w:eastAsiaTheme="minorHAnsi"/>
          <w:color w:val="000000" w:themeColor="text1"/>
          <w:lang w:eastAsia="en-US"/>
          <w14:ligatures w14:val="standardContextual"/>
        </w:rPr>
        <w:t>cité dans</w:t>
      </w:r>
      <w:r w:rsidRPr="001A6BB9">
        <w:rPr>
          <w:rFonts w:eastAsiaTheme="minorHAnsi"/>
          <w:color w:val="000000" w:themeColor="text1"/>
          <w:lang w:eastAsia="en-US"/>
          <w14:ligatures w14:val="standardContextual"/>
        </w:rPr>
        <w:t xml:space="preserve"> Moisant-</w:t>
      </w:r>
      <w:r w:rsidRPr="001A6BB9">
        <w:rPr>
          <w:rFonts w:eastAsiaTheme="minorHAnsi"/>
          <w:color w:val="000000" w:themeColor="text1"/>
          <w:lang w:eastAsia="en-US"/>
          <w14:ligatures w14:val="standardContextual"/>
        </w:rPr>
        <w:lastRenderedPageBreak/>
        <w:t xml:space="preserve">Paquet, 2022). Elles sont présentes au code de vie des écoles, elles sont accessibles sur les sites internet des écoles secondaires et elles s’accompagnent généralement de sanctions lorsqu’elles ne sont pas respectées (Moisant-Paquet, 2022). Bien que les sanctions soient autorisées, seuls l’expulsion de l’école et les châtiments corporels sont interdits des sanctions possibles dans la Loi sur l’instruction publique (Carpentier, 2005). </w:t>
      </w:r>
    </w:p>
    <w:p w14:paraId="0341816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030CFCCC"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rFonts w:eastAsiaTheme="minorHAnsi"/>
          <w:i/>
          <w:iCs/>
          <w:color w:val="000000" w:themeColor="text1"/>
          <w:lang w:eastAsia="en-US"/>
          <w14:ligatures w14:val="standardContextual"/>
        </w:rPr>
        <w:t>6.2.2 Les codes vestimentaires dans les écoles secondaires publiques du Québec </w:t>
      </w:r>
      <w:r w:rsidRPr="001A6BB9">
        <w:rPr>
          <w:rFonts w:eastAsiaTheme="minorHAnsi"/>
          <w:color w:val="000000" w:themeColor="text1"/>
          <w:lang w:eastAsia="en-US"/>
          <w14:ligatures w14:val="standardContextual"/>
        </w:rPr>
        <w:t xml:space="preserve">; </w:t>
      </w:r>
      <w:r w:rsidRPr="001A6BB9">
        <w:rPr>
          <w:rFonts w:eastAsiaTheme="minorHAnsi"/>
          <w:i/>
          <w:iCs/>
          <w:color w:val="000000" w:themeColor="text1"/>
          <w:lang w:eastAsia="en-US"/>
          <w14:ligatures w14:val="standardContextual"/>
        </w:rPr>
        <w:t xml:space="preserve">les politiques </w:t>
      </w:r>
    </w:p>
    <w:p w14:paraId="244AC51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Plusieurs chercheurs, tant aux États-Unis qu’au Canada, se sont consacrés à étudier le sujet des enjeux lié aux codes vestimentaires dans les écoles secondaires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xml:space="preserve">, 2016;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2016). Toutefois, cette présente recherche s’est principalement intéressée au contexte québécois. Afin d’y voir plus clair, une analyse des politiques vestimentaires et des interventions du personnel assurant le respect de celles-ci a été menée sur les sites internet de cinq écoles secondaires publiques de régions différentes du Québec. Par souci de confidentialité, les noms des écoles analysées n’ont pas été dévoilés. Les données obtenues à partir de chaque code vestimentaire ont été comparées entre les cinq écoles afin de mettre en évidence les aspects communs visant à détecter la présence d’éléments contribuant à la culture du viol, tels que le contrôle du corps féminin, la responsabilisation des filles et le mythe d’une sexualité incontrôlable des hommes. Les éléments pouvant contribuer à la culture du viol seront ensuite analysés dans les sections subséquentes.</w:t>
      </w:r>
    </w:p>
    <w:p w14:paraId="637745C2"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71BC1032"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Une dimension, largement partagée dans les cinq écoles recensées, concerne l’imposition de normes de décence visant à réguler la quantité de peau exposée et la visibilité de certaines parties du corps. Les écoles stipulent systématiquement que les sous-vêtements et les parties intimes ne doivent pas être visibles. En outre, des critères spécifiques établissent la longueur minimale des jupes, des shorts ou des bermudas, en se référant généralement à des points de référence corporels, tels qu’une paume de main située juste au-dessus du genou, la longueur mi-cuisse ou l’extrémité des doigts.</w:t>
      </w:r>
      <w:r w:rsidRPr="001A6BB9">
        <w:rPr>
          <w:rFonts w:eastAsiaTheme="minorHAnsi"/>
          <w:i/>
          <w:iCs/>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Certaines institutions ajoutent des exigences concernant les hauts, notamment l’obligation de porter des vêtements non transparents, de couvrir les épaules ou d’assurer que le vêtement descende jusqu’à la ceinture.</w:t>
      </w:r>
      <w:r w:rsidRPr="001A6BB9">
        <w:rPr>
          <w:rFonts w:eastAsiaTheme="minorHAnsi"/>
          <w:i/>
          <w:iCs/>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 xml:space="preserve">Dans certains cas, les vêtements serrés sont tolérés uniquement s’ils sont accompagnés d’un haut long, ce qui témoigne d’une volonté de contrôler non seulement la quantité de peau exposée, mais aussi la silhouette corporelle. La camisole est un </w:t>
      </w:r>
      <w:r w:rsidRPr="001A6BB9">
        <w:rPr>
          <w:rFonts w:eastAsiaTheme="minorHAnsi"/>
          <w:color w:val="000000" w:themeColor="text1"/>
          <w:lang w:eastAsia="en-US"/>
          <w14:ligatures w14:val="standardContextual"/>
        </w:rPr>
        <w:lastRenderedPageBreak/>
        <w:t>vêtement qui revient souvent dans les politiques vestimentaires examinées. En effet, la majorité des politiques vestimentaires recensé</w:t>
      </w:r>
      <w:r>
        <w:rPr>
          <w:rFonts w:eastAsiaTheme="minorHAnsi"/>
          <w:color w:val="000000" w:themeColor="text1"/>
          <w:lang w:eastAsia="en-US"/>
          <w14:ligatures w14:val="standardContextual"/>
        </w:rPr>
        <w:t>e</w:t>
      </w:r>
      <w:r w:rsidRPr="001A6BB9">
        <w:rPr>
          <w:rFonts w:eastAsiaTheme="minorHAnsi"/>
          <w:color w:val="000000" w:themeColor="text1"/>
          <w:lang w:eastAsia="en-US"/>
          <w14:ligatures w14:val="standardContextual"/>
        </w:rPr>
        <w:t>s interdisent ou limite le port de la camisole. Le contrôle de la visibilité des épaules passe par l’interdiction implicite de la camisole en présentant une image d’un corps avec une zone de couleur définissant les parties du corps qui demandent à être couvertes, dont les épaules complètes. Pour une autre école, l’utilisation de l’uniforme implique indirectement l’interdiction des camisoles, puisqu’elles ne font pas partie des options d’achat chez le fournisseur, tandis que, pour d’autres écoles, la camisole est acceptée avec un certain contrôle sur la longueur de celle-ci. On retrouve dans leur politique que les camisoles doivent avoir des bretelles d’au moins trois centimètres. Les règlements en place ciblent davantage le corps des filles, puisque les vêtements, tels que les camisoles à bretelles, les leggings et les jupes, sont majoritairement portés par les filles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2016).</w:t>
      </w:r>
    </w:p>
    <w:p w14:paraId="56C63D82"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0E327AEC"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Dans l’ensemble, les interventions déployées par le personnel scolaire s’inscrivent dans une logique graduée, allant du rappel à l’ordre à des mesures plus contraignantes. Dans plusieurs écoles, les écarts au code vestimentaire sont considérés comme des manquements mineurs pouvant mener à une demande de retourner à domicile afin de modifier la tenue. D’autres établissements privilégient une approche progressive : une note inscrite dans l’agenda scolaire constitue souvent la première étape, suivie de l’obligation pour l’élève de changer immédiatement de vêtements. Lorsque les infractions deviennent récurrentes, la direction intervient pour appliquer une conséquence éducative, dont la nature n’est pas explicitement décrite dans les politiques. Certaines politiques se limitent à définir les critères attendus sans préciser clairement les sanctions, créant ainsi une marge d’interprétation quant aux interventions à appliquer. À l’inverse, d’autres établissements confient aux adultes du milieu scolaire le mandat d’évaluer la conformité d’un vêtement et d’exiger un changement immédiat lorsque cela s’avère nécessaire. Dans certains cas, des mesures plus coercitives sont prévues. Les élèves peuvent être tenus de porter des vêtements fournis par l’école</w:t>
      </w:r>
      <w:r>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lorsque leurs propres vêtements ne répondent pas aux normes. Les parents peuvent être sollicités pour apporter une tenue adéquate. En situation de refus de collaboration, l’expulsion temporaire de la classe peut être appliquée pour le reste de la journée, ce qui revient à dire que l’adolescent se voit retiré de son éducation. Cette conséquence est questionnable, puisque ne pas assister à son cours pourrait en venir à nuire à son apprentissage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2016).</w:t>
      </w:r>
    </w:p>
    <w:p w14:paraId="41A26948"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0EADB5D1"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lastRenderedPageBreak/>
        <w:tab/>
        <w:t>De façon générale, les interventions observées visent principalement à corriger rapidement les écarts, en privilégiant l’ajustement immédiat de la tenue. Cette analyse met en lumière une responsabilisation importante du personnel scolaire dans l’évaluation subjective des infractions et dans l’application de sanctions proportionnées, tout en révélant une variabilité notable dans les pratiques disciplinaires selon les établissements.</w:t>
      </w:r>
    </w:p>
    <w:p w14:paraId="3924D16B"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5482BC1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rFonts w:eastAsiaTheme="minorHAnsi"/>
          <w:i/>
          <w:iCs/>
          <w:color w:val="000000" w:themeColor="text1"/>
          <w:lang w:eastAsia="en-US"/>
          <w14:ligatures w14:val="standardContextual"/>
        </w:rPr>
        <w:t>6.2.3 Les codes vestimentaires dans les écoles secondaires publiques du Québec </w:t>
      </w:r>
      <w:r w:rsidRPr="001A6BB9">
        <w:rPr>
          <w:rFonts w:eastAsiaTheme="minorHAnsi"/>
          <w:color w:val="000000" w:themeColor="text1"/>
          <w:lang w:eastAsia="en-US"/>
          <w14:ligatures w14:val="standardContextual"/>
        </w:rPr>
        <w:t xml:space="preserve">; </w:t>
      </w:r>
      <w:r w:rsidRPr="001A6BB9">
        <w:rPr>
          <w:rFonts w:eastAsiaTheme="minorHAnsi"/>
          <w:i/>
          <w:iCs/>
          <w:color w:val="000000" w:themeColor="text1"/>
          <w:lang w:eastAsia="en-US"/>
          <w14:ligatures w14:val="standardContextual"/>
        </w:rPr>
        <w:t>la responsabilisation des victimes</w:t>
      </w:r>
    </w:p>
    <w:p w14:paraId="36762CAC"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La responsabilisation de la victime constitue un des mécanismes centraux de la culture du viol. </w:t>
      </w:r>
      <w:r w:rsidRPr="001A6BB9">
        <w:rPr>
          <w:color w:val="000000" w:themeColor="text1"/>
        </w:rPr>
        <w:t>Elle renvoie à un jugement critique et négatif porté sur la victime, fondé sur l’idée qu’elle n’aurait pas su adopter des comportements jugés appropriés pour prévenir le risque d’agression</w:t>
      </w:r>
      <w:r w:rsidRPr="001A6BB9">
        <w:rPr>
          <w:rFonts w:eastAsiaTheme="minorHAnsi"/>
          <w:color w:val="000000" w:themeColor="text1"/>
          <w:lang w:eastAsia="en-US"/>
          <w14:ligatures w14:val="standardContextual"/>
        </w:rPr>
        <w:t xml:space="preserve">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Telle qu’exposée dans la littérature ci-haut, elle s’exprime dans les représentations sociétales (ONU Femmes, 2019;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Elle peut donc se retrouver dans les dispositifs institutionnels, comme les écoles secondaires publique</w:t>
      </w:r>
      <w:r>
        <w:rPr>
          <w:rFonts w:eastAsiaTheme="minorHAnsi"/>
          <w:color w:val="000000" w:themeColor="text1"/>
          <w:lang w:eastAsia="en-US"/>
          <w14:ligatures w14:val="standardContextual"/>
        </w:rPr>
        <w:t>s</w:t>
      </w:r>
      <w:r w:rsidRPr="001A6BB9">
        <w:rPr>
          <w:rFonts w:eastAsiaTheme="minorHAnsi"/>
          <w:color w:val="000000" w:themeColor="text1"/>
          <w:lang w:eastAsia="en-US"/>
          <w14:ligatures w14:val="standardContextual"/>
        </w:rPr>
        <w:t xml:space="preserve">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Dans les établissements d’enseignements secondaires, la responsabilité de la victime passe par les politiques vestimentaires et les sanctions visant à maintenir en place lesdites règles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Dans leurs recherches, Moisant-Paquet (2022) </w:t>
      </w:r>
      <w:r>
        <w:rPr>
          <w:rFonts w:eastAsiaTheme="minorHAnsi"/>
          <w:color w:val="000000" w:themeColor="text1"/>
          <w:lang w:eastAsia="en-US"/>
          <w14:ligatures w14:val="standardContextual"/>
        </w:rPr>
        <w:t xml:space="preserve">et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font ressortir que les politiques vestimentaires amènent l’entourage à juger le corps des filles. Ainsi, dans le contexte scolaire, le jugement du corps des filles passe par le personnel scolaire</w:t>
      </w:r>
      <w:r>
        <w:rPr>
          <w:rFonts w:eastAsiaTheme="minorHAnsi"/>
          <w:color w:val="000000" w:themeColor="text1"/>
          <w:lang w:eastAsia="en-US"/>
          <w14:ligatures w14:val="standardContextual"/>
        </w:rPr>
        <w:t xml:space="preserve"> (</w:t>
      </w:r>
      <w:proofErr w:type="spellStart"/>
      <w:r>
        <w:rPr>
          <w:rFonts w:eastAsiaTheme="minorHAnsi"/>
          <w:color w:val="000000" w:themeColor="text1"/>
          <w:lang w:eastAsia="en-US"/>
          <w14:ligatures w14:val="standardContextual"/>
        </w:rPr>
        <w:t>Raby</w:t>
      </w:r>
      <w:proofErr w:type="spellEnd"/>
      <w:r>
        <w:rPr>
          <w:rFonts w:eastAsiaTheme="minorHAnsi"/>
          <w:color w:val="000000" w:themeColor="text1"/>
          <w:lang w:eastAsia="en-US"/>
          <w14:ligatures w14:val="standardContextual"/>
        </w:rPr>
        <w:t>, 2009)</w:t>
      </w:r>
      <w:r w:rsidRPr="001A6BB9">
        <w:rPr>
          <w:rFonts w:eastAsiaTheme="minorHAnsi"/>
          <w:color w:val="000000" w:themeColor="text1"/>
          <w:lang w:eastAsia="en-US"/>
          <w14:ligatures w14:val="standardContextual"/>
        </w:rPr>
        <w:t>. En effet, ceux-ci ont tendance à déployer davantage d’interventions auprès des filles plus grandes ou ayant un corps plus développé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2009). Les adolescentes participent aussi à</w:t>
      </w:r>
      <w:r>
        <w:rPr>
          <w:rFonts w:eastAsiaTheme="minorHAnsi"/>
          <w:color w:val="000000" w:themeColor="text1"/>
          <w:lang w:eastAsia="en-US"/>
          <w14:ligatures w14:val="standardContextual"/>
        </w:rPr>
        <w:t xml:space="preserve"> ce jugement corporel </w:t>
      </w:r>
      <w:r w:rsidRPr="001A6BB9">
        <w:rPr>
          <w:rFonts w:eastAsiaTheme="minorHAnsi"/>
          <w:color w:val="000000" w:themeColor="text1"/>
          <w:lang w:eastAsia="en-US"/>
          <w14:ligatures w14:val="standardContextual"/>
        </w:rPr>
        <w:t xml:space="preserve">(Moisant-Paquet,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2009).</w:t>
      </w:r>
      <w:r>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 xml:space="preserve">Dans les écoles, elles ont tendance à reproduire un discours stigmatisant en définissant ce qui est acceptable de porter ou non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Afin de </w:t>
      </w:r>
      <w:r>
        <w:rPr>
          <w:rFonts w:eastAsiaTheme="minorHAnsi"/>
          <w:color w:val="000000" w:themeColor="text1"/>
          <w:lang w:eastAsia="en-US"/>
          <w14:ligatures w14:val="standardContextual"/>
        </w:rPr>
        <w:t>caractériser</w:t>
      </w:r>
      <w:r w:rsidRPr="001A6BB9">
        <w:rPr>
          <w:rFonts w:eastAsiaTheme="minorHAnsi"/>
          <w:color w:val="000000" w:themeColor="text1"/>
          <w:lang w:eastAsia="en-US"/>
          <w14:ligatures w14:val="standardContextual"/>
        </w:rPr>
        <w:t xml:space="preserve"> ce qui est acceptable ou non de porter, les filles utilisent des termes verbalement violents entre elles, telles que « salope » ou « fille facile »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Ces constats font écho aux formes de violences sexuelles non reconnues par le Code criminel canadien, tel que souligné par plusieurs auteurs précédemment (Bergeron et al., 2020; Kelly, 2019; Lachapelle et al., 2024). </w:t>
      </w:r>
    </w:p>
    <w:p w14:paraId="6E9CA16A"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09E96509" w14:textId="456D4A9B"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lastRenderedPageBreak/>
        <w:tab/>
        <w:t xml:space="preserve">Or, les chercheuses Moisant-Paquet (2022) </w:t>
      </w:r>
      <w:r>
        <w:rPr>
          <w:rFonts w:eastAsiaTheme="minorHAnsi"/>
          <w:color w:val="000000" w:themeColor="text1"/>
          <w:lang w:eastAsia="en-US"/>
          <w14:ligatures w14:val="standardContextual"/>
        </w:rPr>
        <w:t xml:space="preserve">et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w:t>
      </w:r>
      <w:r>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 xml:space="preserve">suggèrent que les politiques vestimentaires et les interventions menées par le personnel sont mises en place afin de protéger les filles du harcèlement qu’elle pourrait subir. Toutefois, ce message peut être problématique, puisqu’il véhicule le discours de la culture du viol, soit la responsabilisation de la victime. En effet, il sous-entend que les filles </w:t>
      </w:r>
      <w:r>
        <w:rPr>
          <w:rFonts w:eastAsiaTheme="minorHAnsi"/>
          <w:color w:val="000000" w:themeColor="text1"/>
          <w:lang w:eastAsia="en-US"/>
          <w14:ligatures w14:val="standardContextual"/>
        </w:rPr>
        <w:t>doivent assurer leur protection contre</w:t>
      </w:r>
      <w:r w:rsidRPr="001A6BB9">
        <w:rPr>
          <w:rFonts w:eastAsiaTheme="minorHAnsi"/>
          <w:color w:val="000000" w:themeColor="text1"/>
          <w:lang w:eastAsia="en-US"/>
          <w14:ligatures w14:val="standardContextual"/>
        </w:rPr>
        <w:t xml:space="preserve"> </w:t>
      </w:r>
      <w:r>
        <w:rPr>
          <w:rFonts w:eastAsiaTheme="minorHAnsi"/>
          <w:color w:val="000000" w:themeColor="text1"/>
          <w:lang w:eastAsia="en-US"/>
          <w14:ligatures w14:val="standardContextual"/>
        </w:rPr>
        <w:t>la</w:t>
      </w:r>
      <w:r w:rsidRPr="001A6BB9">
        <w:rPr>
          <w:rFonts w:eastAsiaTheme="minorHAnsi"/>
          <w:color w:val="000000" w:themeColor="text1"/>
          <w:lang w:eastAsia="en-US"/>
          <w14:ligatures w14:val="standardContextual"/>
        </w:rPr>
        <w:t xml:space="preserve"> violence qu’elles peuvent subir si elles ne se conforment pas à une féminité décente, voire abstinente (Keller et al., 2018 ;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w:t>
      </w:r>
    </w:p>
    <w:p w14:paraId="59D5B19B"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760B6F02" w14:textId="18F0A794"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Une autre étude pousse davantage le lien réflectif entre la responsabilisation de la victime et la présence des codes vestimentaires dans les institutions d’enseignements secondaires. Pour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les institutions scolaires reproduisent la stigmatisation des femmes en leur imposant des restrictions vestimentaires. Selon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les codes vestimentaires sont une illustration du discours social qui blâme les filles d’avoir attiré une agression sexuelle en s’habillant d’une manière particulière. </w:t>
      </w:r>
      <w:r w:rsidR="00643E3F">
        <w:rPr>
          <w:rFonts w:eastAsiaTheme="minorHAnsi"/>
          <w:color w:val="000000" w:themeColor="text1"/>
          <w:lang w:eastAsia="en-US"/>
          <w14:ligatures w14:val="standardContextual"/>
        </w:rPr>
        <w:t>I</w:t>
      </w:r>
      <w:r w:rsidRPr="001A6BB9">
        <w:rPr>
          <w:rFonts w:eastAsiaTheme="minorHAnsi"/>
          <w:color w:val="000000" w:themeColor="text1"/>
          <w:lang w:eastAsia="en-US"/>
          <w14:ligatures w14:val="standardContextual"/>
        </w:rPr>
        <w:t>l suggère qu’en imposant aux filles la responsabilité de se protéger d’une agression sexuelle, on évite d’éduquer les hommes à respecter le corps et la limite des femmes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2016). </w:t>
      </w:r>
      <w:proofErr w:type="gramStart"/>
      <w:r w:rsidR="00A3709F">
        <w:rPr>
          <w:rFonts w:eastAsiaTheme="minorHAnsi"/>
          <w:color w:val="000000" w:themeColor="text1"/>
          <w:lang w:eastAsia="en-US"/>
          <w14:ligatures w14:val="standardContextual"/>
        </w:rPr>
        <w:t>Au final</w:t>
      </w:r>
      <w:proofErr w:type="gramEnd"/>
      <w:r w:rsidR="00643E3F">
        <w:rPr>
          <w:rFonts w:eastAsiaTheme="minorHAnsi"/>
          <w:color w:val="000000" w:themeColor="text1"/>
          <w:lang w:eastAsia="en-US"/>
          <w14:ligatures w14:val="standardContextual"/>
        </w:rPr>
        <w:t xml:space="preserve">, </w:t>
      </w:r>
      <w:r w:rsidR="00643E3F" w:rsidRPr="001A6BB9">
        <w:rPr>
          <w:rFonts w:eastAsiaTheme="minorHAnsi"/>
          <w:color w:val="000000" w:themeColor="text1"/>
          <w:lang w:eastAsia="en-US"/>
          <w14:ligatures w14:val="standardContextual"/>
        </w:rPr>
        <w:t>en voulant protéger les jeunes adolescentes de la violence qu’elle pourrait subir, les politiques vestimentaires favorisent l</w:t>
      </w:r>
      <w:r w:rsidR="00643E3F">
        <w:rPr>
          <w:rFonts w:eastAsiaTheme="minorHAnsi"/>
          <w:color w:val="000000" w:themeColor="text1"/>
          <w:lang w:eastAsia="en-US"/>
          <w14:ligatures w14:val="standardContextual"/>
        </w:rPr>
        <w:t xml:space="preserve">e discours de la culture du viol ainsi que la violence </w:t>
      </w:r>
      <w:r w:rsidR="00643E3F" w:rsidRPr="001A6BB9">
        <w:rPr>
          <w:rFonts w:eastAsiaTheme="minorHAnsi"/>
          <w:color w:val="000000" w:themeColor="text1"/>
          <w:lang w:eastAsia="en-US"/>
          <w14:ligatures w14:val="standardContextual"/>
        </w:rPr>
        <w:t>au sein de l’école en décidant ce qui est décent ou non de porter.</w:t>
      </w:r>
    </w:p>
    <w:p w14:paraId="679E55DC" w14:textId="77777777" w:rsidR="00F84A85" w:rsidRDefault="006F7996" w:rsidP="00E639A6">
      <w:pPr>
        <w:pStyle w:val="NormalWeb"/>
        <w:spacing w:line="360" w:lineRule="auto"/>
        <w:jc w:val="both"/>
        <w:rPr>
          <w:i/>
          <w:iCs/>
          <w:color w:val="000000" w:themeColor="text1"/>
        </w:rPr>
      </w:pPr>
      <w:r w:rsidRPr="001A6BB9">
        <w:rPr>
          <w:rFonts w:eastAsiaTheme="minorHAnsi"/>
          <w:i/>
          <w:iCs/>
          <w:color w:val="000000" w:themeColor="text1"/>
          <w:lang w:eastAsia="en-US"/>
          <w14:ligatures w14:val="standardContextual"/>
        </w:rPr>
        <w:t xml:space="preserve">6.2.4 </w:t>
      </w:r>
      <w:r w:rsidRPr="001A6BB9">
        <w:rPr>
          <w:i/>
          <w:iCs/>
          <w:color w:val="000000" w:themeColor="text1"/>
        </w:rPr>
        <w:t>Les codes vestimentaires dans les écoles secondaires publiques du Québec </w:t>
      </w:r>
      <w:r w:rsidRPr="001A6BB9">
        <w:rPr>
          <w:color w:val="000000" w:themeColor="text1"/>
        </w:rPr>
        <w:t xml:space="preserve">; </w:t>
      </w:r>
      <w:r w:rsidRPr="001A6BB9">
        <w:rPr>
          <w:i/>
          <w:iCs/>
          <w:color w:val="000000" w:themeColor="text1"/>
        </w:rPr>
        <w:t>contrôle du corps des filles</w:t>
      </w:r>
    </w:p>
    <w:p w14:paraId="55B9678E" w14:textId="13BBC961" w:rsidR="006F7996" w:rsidRPr="001A6BB9" w:rsidRDefault="006F7996" w:rsidP="00F84A85">
      <w:pPr>
        <w:pStyle w:val="NormalWeb"/>
        <w:spacing w:line="360" w:lineRule="auto"/>
        <w:ind w:firstLine="708"/>
        <w:jc w:val="both"/>
        <w:rPr>
          <w:i/>
          <w:iCs/>
          <w:color w:val="000000" w:themeColor="text1"/>
        </w:rPr>
      </w:pPr>
      <w:r w:rsidRPr="001A6BB9">
        <w:rPr>
          <w:rFonts w:eastAsiaTheme="minorHAnsi"/>
          <w:color w:val="000000" w:themeColor="text1"/>
          <w:lang w:eastAsia="en-US"/>
          <w14:ligatures w14:val="standardContextual"/>
        </w:rPr>
        <w:t xml:space="preserve">Le contrôle du corps, passant par l’interdiction de certains vêtements, pose un problème pour plusieurs auteurs. D’abord, </w:t>
      </w:r>
      <w:r>
        <w:rPr>
          <w:rFonts w:eastAsiaTheme="minorHAnsi"/>
          <w:color w:val="000000" w:themeColor="text1"/>
          <w:lang w:eastAsia="en-US"/>
          <w14:ligatures w14:val="standardContextual"/>
        </w:rPr>
        <w:t>rappelons que</w:t>
      </w:r>
      <w:r w:rsidRPr="001A6BB9">
        <w:rPr>
          <w:rFonts w:eastAsiaTheme="minorHAnsi"/>
          <w:color w:val="000000" w:themeColor="text1"/>
          <w:lang w:eastAsia="en-US"/>
          <w14:ligatures w14:val="standardContextual"/>
        </w:rPr>
        <w:t>, contrôler le corps des filles fait partie de la définition de la culture du viol</w:t>
      </w:r>
      <w:r>
        <w:rPr>
          <w:rFonts w:eastAsiaTheme="minorHAnsi"/>
          <w:color w:val="000000" w:themeColor="text1"/>
          <w:lang w:eastAsia="en-US"/>
          <w14:ligatures w14:val="standardContextual"/>
        </w:rPr>
        <w:t xml:space="preserve"> (Keller et al., 2018)</w:t>
      </w:r>
      <w:r w:rsidRPr="001A6BB9">
        <w:rPr>
          <w:rFonts w:eastAsiaTheme="minorHAnsi"/>
          <w:color w:val="000000" w:themeColor="text1"/>
          <w:lang w:eastAsia="en-US"/>
          <w14:ligatures w14:val="standardContextual"/>
        </w:rPr>
        <w:t xml:space="preserve">. En effet, </w:t>
      </w:r>
      <w:r w:rsidR="00E028D2">
        <w:rPr>
          <w:rFonts w:eastAsiaTheme="minorHAnsi"/>
          <w:color w:val="000000" w:themeColor="text1"/>
          <w:lang w:eastAsia="en-US"/>
          <w14:ligatures w14:val="standardContextual"/>
        </w:rPr>
        <w:t xml:space="preserve">comme </w:t>
      </w:r>
      <w:r w:rsidR="002A6D85">
        <w:rPr>
          <w:rFonts w:eastAsiaTheme="minorHAnsi"/>
          <w:color w:val="000000" w:themeColor="text1"/>
          <w:lang w:eastAsia="en-US"/>
          <w14:ligatures w14:val="standardContextual"/>
        </w:rPr>
        <w:t>suggér</w:t>
      </w:r>
      <w:r w:rsidR="00DD10F5">
        <w:rPr>
          <w:rFonts w:eastAsiaTheme="minorHAnsi"/>
          <w:color w:val="000000" w:themeColor="text1"/>
          <w:lang w:eastAsia="en-US"/>
          <w14:ligatures w14:val="standardContextual"/>
        </w:rPr>
        <w:t>é</w:t>
      </w:r>
      <w:r w:rsidR="00E028D2">
        <w:rPr>
          <w:rFonts w:eastAsiaTheme="minorHAnsi"/>
          <w:color w:val="000000" w:themeColor="text1"/>
          <w:lang w:eastAsia="en-US"/>
          <w14:ligatures w14:val="standardContextual"/>
        </w:rPr>
        <w:t xml:space="preserve"> plus haut, </w:t>
      </w:r>
      <w:r w:rsidRPr="001A6BB9">
        <w:rPr>
          <w:rFonts w:eastAsiaTheme="minorHAnsi"/>
          <w:color w:val="000000" w:themeColor="text1"/>
          <w:lang w:eastAsia="en-US"/>
          <w14:ligatures w14:val="standardContextual"/>
        </w:rPr>
        <w:t xml:space="preserve">contrôler le corps des filles invite les filles à prendre les moyens pour se protéger contre les hommes au lieu d’éduquer les hommes à respecter les filles (Keller et al., 2018;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Dans ce discours, il est sous-entendu que les hommes détiennent plus de pouvoir que les femmes, puisque c’est à ces dernières qu’incombe la responsabilité de se protéger des agressions commises par ces messieurs (Keller et al., 2018). </w:t>
      </w:r>
    </w:p>
    <w:p w14:paraId="44C6A6BA"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lastRenderedPageBreak/>
        <w:tab/>
        <w:t xml:space="preserve">D’autres études vont dans le même sens en suggérant que le contrôle du corps des filles passe par l’hypersexualisation de celle-ci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C’est-à-dire qu’en interdisant certains vêtements qui laissent entrevoir des parties du corps, les politiques vestimentaires des écoles secondaires définissent ce qui est une sexualité dangereuse pour les filles ou encore ce qui n’est pas respectueux de soi-même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Selon Mercier (2020), les règlements qui interdisent aux filles de porter des vêtements qui dévoilent leur peau sous-entendent que leur corps peut être une source de distraction et de provocation pour les hommes. Toutefois, quelques recherches observent que les filles choisissent plutôt certains vêtements pour répondre à des besoins pratiques, comme la gestion de la température, et non pour être désirable ou attirante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De plus,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xml:space="preserve"> (2016), souligne dans ses recherches que les vêtements sont exploités par certaines industries afin de favoriser l’expression de la personnalité. Soulignons que la formation de l’identité est un processus développemental normal chez les adolescents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2016). Si les institutions académiques se préoccupaient réellement du bien-être des filles, elles chercheraient à comprendre leurs intentions plutôt qu’à les contrôler par crainte qu’elles ne soient perçues comme trop sexualisées.</w:t>
      </w:r>
    </w:p>
    <w:p w14:paraId="13F6F5E1"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04437715" w14:textId="74BF9E6C" w:rsidR="006F7996"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Finalement, selon Lang (2011), contrôler la sexualité des jeunes filles en leur dictant ce qui est acceptable ou non de porter va à l’encontre de la notion de l’agentivité. L’agentivité est un concept qui consiste à être son propre agent de ses actions et décisions (Lang, 2011). Être agent de sa sexualité signifie agir en fonction de ses propres désirs et de sa propre motivation, et non sous l’influence du désir patriarcal ou sociétal (Lang, 2011). La notion d’agentivité fait écho aux recherches de Mercier (2020)</w:t>
      </w:r>
      <w:r>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Moisant-Paquet (2022)</w:t>
      </w:r>
      <w:r>
        <w:rPr>
          <w:rFonts w:eastAsiaTheme="minorHAnsi"/>
          <w:color w:val="000000" w:themeColor="text1"/>
          <w:lang w:eastAsia="en-US"/>
          <w14:ligatures w14:val="standardContextual"/>
        </w:rPr>
        <w:t xml:space="preserve"> et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w:t>
      </w:r>
      <w:r>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 xml:space="preserve">En effet, </w:t>
      </w:r>
      <w:r w:rsidR="00C2211E">
        <w:rPr>
          <w:rFonts w:eastAsiaTheme="minorHAnsi"/>
          <w:color w:val="000000" w:themeColor="text1"/>
          <w:lang w:eastAsia="en-US"/>
          <w14:ligatures w14:val="standardContextual"/>
        </w:rPr>
        <w:t>en prohibant certains vêtements</w:t>
      </w:r>
      <w:r w:rsidR="007A41FB">
        <w:rPr>
          <w:rFonts w:eastAsiaTheme="minorHAnsi"/>
          <w:color w:val="000000" w:themeColor="text1"/>
          <w:lang w:eastAsia="en-US"/>
          <w14:ligatures w14:val="standardContextual"/>
        </w:rPr>
        <w:t xml:space="preserve"> dans le</w:t>
      </w:r>
      <w:r w:rsidR="00C2211E">
        <w:rPr>
          <w:rFonts w:eastAsiaTheme="minorHAnsi"/>
          <w:color w:val="000000" w:themeColor="text1"/>
          <w:lang w:eastAsia="en-US"/>
          <w14:ligatures w14:val="standardContextual"/>
        </w:rPr>
        <w:t xml:space="preserve"> </w:t>
      </w:r>
      <w:r w:rsidR="00C2211E" w:rsidRPr="001A6BB9">
        <w:rPr>
          <w:rFonts w:eastAsiaTheme="minorHAnsi"/>
          <w:color w:val="000000" w:themeColor="text1"/>
          <w:lang w:eastAsia="en-US"/>
          <w14:ligatures w14:val="standardContextual"/>
        </w:rPr>
        <w:t>but de protéger les jeunes filles,</w:t>
      </w:r>
      <w:r w:rsidR="00C2211E">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les institutions d’éducation secondaire deviennent les agents décisionnels pour ses jeunes filles (Lang, 2011;</w:t>
      </w:r>
      <w:r>
        <w:rPr>
          <w:rFonts w:eastAsiaTheme="minorHAnsi"/>
          <w:color w:val="000000" w:themeColor="text1"/>
          <w:lang w:eastAsia="en-US"/>
          <w14:ligatures w14:val="standardContextual"/>
        </w:rPr>
        <w:t xml:space="preserve"> </w:t>
      </w:r>
      <w:r w:rsidRPr="001A6BB9">
        <w:rPr>
          <w:rFonts w:eastAsiaTheme="minorHAnsi"/>
          <w:color w:val="000000" w:themeColor="text1"/>
          <w:lang w:eastAsia="en-US"/>
          <w14:ligatures w14:val="standardContextual"/>
        </w:rPr>
        <w:t xml:space="preserve">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De plus, en imposant aux jeunes filles des règles sur ce qu’elles ont le droit ou non de porter, les codes vestimentaires sous-entendent que leur désir est une émotion dangereuse qui doit être réglementée, sinon ignorée (Lang, 2011). Or, repousser son propre désir est en quelque sorte rester passive face à son propre désir et donc, loin du principe de l’agentivité tel que défini par Lang (2011). Ce discours social peut s’avérer préoccupant, car il régit non seulement le désir sexuel des jeunes filles, en leur imposant ce qu’elles devraient ou ne devraient pas faire, mais il laisse croire que ces dernières seraient incapables d’exercer un jugement critique (Lang, 2011).  </w:t>
      </w:r>
    </w:p>
    <w:p w14:paraId="2B3C18E7" w14:textId="77777777" w:rsidR="006F7996" w:rsidRPr="001E3CFA"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3B94193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i/>
          <w:iCs/>
          <w:color w:val="000000" w:themeColor="text1"/>
        </w:rPr>
        <w:t xml:space="preserve">6.2.5 </w:t>
      </w:r>
      <w:r w:rsidRPr="001A6BB9">
        <w:rPr>
          <w:rFonts w:eastAsiaTheme="minorHAnsi"/>
          <w:i/>
          <w:iCs/>
          <w:color w:val="000000" w:themeColor="text1"/>
          <w:lang w:eastAsia="en-US"/>
          <w14:ligatures w14:val="standardContextual"/>
        </w:rPr>
        <w:t xml:space="preserve">Les codes vestimentaires dans les écoles secondaires publiques du Québec ; l’expérience des filles </w:t>
      </w:r>
    </w:p>
    <w:p w14:paraId="3B97BE13"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L’expérience des femmes quant à leur vécu pour décrire les violences sexuelles dont elles ont été victimes dans leur vie permet d’enrichir l’éventail des formes d’abus possibles (Kelly, 2019). Puisque chaque femme </w:t>
      </w:r>
      <w:r>
        <w:rPr>
          <w:rFonts w:eastAsiaTheme="minorHAnsi"/>
          <w:color w:val="000000" w:themeColor="text1"/>
          <w:lang w:eastAsia="en-US"/>
          <w14:ligatures w14:val="standardContextual"/>
        </w:rPr>
        <w:t>vit une</w:t>
      </w:r>
      <w:r w:rsidRPr="001A6BB9">
        <w:rPr>
          <w:rFonts w:eastAsiaTheme="minorHAnsi"/>
          <w:color w:val="000000" w:themeColor="text1"/>
          <w:lang w:eastAsia="en-US"/>
          <w14:ligatures w14:val="standardContextual"/>
        </w:rPr>
        <w:t xml:space="preserve"> expérience </w:t>
      </w:r>
      <w:r>
        <w:rPr>
          <w:rFonts w:eastAsiaTheme="minorHAnsi"/>
          <w:color w:val="000000" w:themeColor="text1"/>
          <w:lang w:eastAsia="en-US"/>
          <w14:ligatures w14:val="standardContextual"/>
        </w:rPr>
        <w:t xml:space="preserve">unique </w:t>
      </w:r>
      <w:r w:rsidRPr="001A6BB9">
        <w:rPr>
          <w:rFonts w:eastAsiaTheme="minorHAnsi"/>
          <w:color w:val="000000" w:themeColor="text1"/>
          <w:lang w:eastAsia="en-US"/>
          <w14:ligatures w14:val="standardContextual"/>
        </w:rPr>
        <w:t>d</w:t>
      </w:r>
      <w:r>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agression sexuelle, le </w:t>
      </w:r>
      <w:r>
        <w:rPr>
          <w:rFonts w:eastAsiaTheme="minorHAnsi"/>
          <w:color w:val="000000" w:themeColor="text1"/>
          <w:lang w:eastAsia="en-US"/>
          <w14:ligatures w14:val="standardContextual"/>
        </w:rPr>
        <w:t xml:space="preserve">fait d’en parler permet d’éviter de se limiter </w:t>
      </w:r>
      <w:r w:rsidRPr="001A6BB9">
        <w:rPr>
          <w:rFonts w:eastAsiaTheme="minorHAnsi"/>
          <w:color w:val="000000" w:themeColor="text1"/>
          <w:lang w:eastAsia="en-US"/>
          <w14:ligatures w14:val="standardContextual"/>
        </w:rPr>
        <w:t>à une seule définition (Kelly, 2019). Ainsi, dans ce</w:t>
      </w:r>
      <w:r>
        <w:rPr>
          <w:rFonts w:eastAsiaTheme="minorHAnsi"/>
          <w:color w:val="000000" w:themeColor="text1"/>
          <w:lang w:eastAsia="en-US"/>
          <w14:ligatures w14:val="standardContextual"/>
        </w:rPr>
        <w:t>tte section</w:t>
      </w:r>
      <w:r w:rsidRPr="001A6BB9">
        <w:rPr>
          <w:rFonts w:eastAsiaTheme="minorHAnsi"/>
          <w:color w:val="000000" w:themeColor="text1"/>
          <w:lang w:eastAsia="en-US"/>
          <w14:ligatures w14:val="standardContextual"/>
        </w:rPr>
        <w:t xml:space="preserve">, l’expérience des adolescentes de différentes écoles secondaires du Québec sera analysée sous l’angle proposé par Kelly (2019).  </w:t>
      </w:r>
    </w:p>
    <w:p w14:paraId="4763C51B"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598D6D5B" w14:textId="31B988B1"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Dans le contexte québécois, peu de recherches sont réalisées sur l’expérience des adolescentes au secondaire. Dans son mémoire de recherche réalisé en 2022, Moisant-Paquet fait ressortir l’expérience des filles à l’égard des règles de différentes écoles secondaires du Québec. En général, les filles de sa cohorte de recherche ont constaté qu’elles étaient davantage ciblées que les garçons par les politiques et les sanctions de leurs écoles respectives (Moisant-Paquet, 2022). Non seulement les filles se sont senties davantage visées, mais elles ont souligné le caractère genré et subjectif des règlements (Moisant-Paquet, 2022). Par exemple, le port d’une camisole pour un garçon, ça passe, mais pas pour une fille (Moisant-Paquet, 2022). Selon les recherches de Moisant-Paquet (2022), puisque les filles sont davantage ciblées par les politiques en place, elles deviennent donc davantage à risque de sanction que les garçons, un constat qui fait écho aux notions de patriarcat et de maintien des femmes dans la peur de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w:t>
      </w:r>
    </w:p>
    <w:p w14:paraId="21A9200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703DF8C4" w14:textId="77777777" w:rsidR="006F7996"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Tout comme le rapportait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dans ses recherches, l’expérience des filles dans la recherche de Moisant-Paquet (2022) soulève la présence de discrimination de la part du personnel scolaire. En effet, ce sont généralement les filles les plus développées « seins, hanches, fesses » ou les filles ayant un peu de chair en trop qui sont davantage ciblées par les interventions du personnel scolaire (Moisant-Paquet, 2022, p. 56). Ces expériences rejoignent les constats de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qui observe une tendance à sexualiser le corps des filles en définissant les filles plus développées comme plus sexuelles que celles perçues comme plus minces ou moins courbées.</w:t>
      </w:r>
    </w:p>
    <w:p w14:paraId="147D63B4"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2966A478"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lastRenderedPageBreak/>
        <w:tab/>
        <w:t xml:space="preserve">Enfin, l’expérience des filles dans la recherche de Moisant-Paquet (2022) suggère que les filles peuvent vivre de l’humiliation lorsqu’elles se voient sanctionner pour le non-respect des politiques vestimentaires de leur école. </w:t>
      </w:r>
      <w:r w:rsidRPr="006B6559">
        <w:rPr>
          <w:rFonts w:eastAsiaTheme="minorHAnsi"/>
          <w:color w:val="000000" w:themeColor="text1"/>
          <w:lang w:eastAsia="en-US"/>
          <w14:ligatures w14:val="standardContextual"/>
        </w:rPr>
        <w:t>En effet,</w:t>
      </w:r>
      <w:r w:rsidRPr="001A6BB9">
        <w:rPr>
          <w:rFonts w:eastAsiaTheme="minorHAnsi"/>
          <w:color w:val="000000" w:themeColor="text1"/>
          <w:lang w:eastAsia="en-US"/>
          <w14:ligatures w14:val="standardContextual"/>
        </w:rPr>
        <w:t xml:space="preserve"> une jeune fille s’est vue obligée de porter un chandail jaune toute la journée parce qu’elle avait enfreint les règles vestimentaires de son école (Moisant-Paquet, 2022). La situation n’est pas si différente chez nos voisins du sud</w:t>
      </w:r>
      <w:r w:rsidRPr="006B6559">
        <w:rPr>
          <w:rFonts w:eastAsiaTheme="minorHAnsi"/>
          <w:color w:val="000000" w:themeColor="text1"/>
          <w:lang w:eastAsia="en-US"/>
          <w14:ligatures w14:val="standardContextual"/>
        </w:rPr>
        <w:t xml:space="preserve">. </w:t>
      </w:r>
      <w:r>
        <w:rPr>
          <w:rFonts w:eastAsiaTheme="minorHAnsi"/>
          <w:color w:val="000000" w:themeColor="text1"/>
          <w:lang w:eastAsia="en-US"/>
          <w14:ligatures w14:val="standardContextual"/>
        </w:rPr>
        <w:t>D</w:t>
      </w:r>
      <w:r w:rsidRPr="001A6BB9">
        <w:rPr>
          <w:rFonts w:eastAsiaTheme="minorHAnsi"/>
          <w:color w:val="000000" w:themeColor="text1"/>
          <w:lang w:eastAsia="en-US"/>
          <w14:ligatures w14:val="standardContextual"/>
        </w:rPr>
        <w:t xml:space="preserve">ans une étude réalisée aux États-Unis,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xml:space="preserve"> (2016) soulève les mêmes constats. L’expérience d’une élève fut d’être humiliée en public pour avoir porté un pantalon coloré et un chandail aux couleurs vives avec l’inscription « violation du code vestimentaire »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2016, p. 1043</w:t>
      </w:r>
      <w:r>
        <w:rPr>
          <w:rFonts w:eastAsiaTheme="minorHAnsi"/>
          <w:color w:val="000000" w:themeColor="text1"/>
          <w:lang w:eastAsia="en-US"/>
          <w14:ligatures w14:val="standardContextual"/>
        </w:rPr>
        <w:t>, traduction libre</w:t>
      </w:r>
      <w:r w:rsidRPr="001A6BB9">
        <w:rPr>
          <w:rFonts w:eastAsiaTheme="minorHAnsi"/>
          <w:color w:val="000000" w:themeColor="text1"/>
          <w:lang w:eastAsia="en-US"/>
          <w14:ligatures w14:val="standardContextual"/>
        </w:rPr>
        <w:t>). Ce type d’intervention est troublante, puisqu’elle stigmatise les filles, elle les victimise en les humiliant, elles les maintiennent dans la crainte de subir une telle sanction et elles conditionnent les filles à se sentir moins importantes que les garçons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2016).</w:t>
      </w:r>
    </w:p>
    <w:p w14:paraId="61C04C49"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kern w:val="2"/>
        </w:rPr>
      </w:pPr>
    </w:p>
    <w:p w14:paraId="293B6B4E"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i/>
          <w:iCs/>
          <w:color w:val="000000" w:themeColor="text1"/>
        </w:rPr>
      </w:pPr>
      <w:r w:rsidRPr="001A6BB9">
        <w:rPr>
          <w:i/>
          <w:iCs/>
          <w:color w:val="000000" w:themeColor="text1"/>
        </w:rPr>
        <w:t>6.2.6 Les codes vestimentaires dans les écoles secondaires publiques du Québec </w:t>
      </w:r>
      <w:r w:rsidRPr="001A6BB9">
        <w:rPr>
          <w:color w:val="000000" w:themeColor="text1"/>
        </w:rPr>
        <w:t xml:space="preserve">; </w:t>
      </w:r>
      <w:r w:rsidRPr="001A6BB9">
        <w:rPr>
          <w:i/>
          <w:iCs/>
          <w:color w:val="000000" w:themeColor="text1"/>
        </w:rPr>
        <w:t>le mythe de la sexualité masculine incontrôlable</w:t>
      </w:r>
    </w:p>
    <w:p w14:paraId="6790608E" w14:textId="77777777" w:rsidR="006F7996"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color w:val="000000" w:themeColor="text1"/>
        </w:rPr>
        <w:tab/>
      </w:r>
      <w:r w:rsidRPr="001A6BB9">
        <w:rPr>
          <w:rFonts w:eastAsiaTheme="minorHAnsi"/>
          <w:color w:val="000000" w:themeColor="text1"/>
          <w:lang w:eastAsia="en-US"/>
          <w14:ligatures w14:val="standardContextual"/>
        </w:rPr>
        <w:t>La société dans laquelle nous vivons partage plusieurs représentations qui donnent un sens à celle-ci. Une des représentations de notre société patriarcale est de concevoir que les violences sexuelles font partie de l’éventail des activités sexuelles possibles dans les relations hétérosexuelles (Rousseau et al., 2020). En adoptant cette représentation, notre société véhicule l’image d’un homme guidé par des pulsions sexuelles difficilement contrôlables et généralement initiatrices des relations sexuelles, tandis que la femme est perçue comme devant refuser ses avances lorsqu’elle ne souhaite pas d’activité sexuelle (Rousseau et al., 2020). Cette représentation de l’homme naturalisée avec une motivation sexuelle hors de son contrôle est un mythe attribuable à la culture du viol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Elle contribue à normaliser les violences sexuelles et à déresponsabiliser les agressions sexuelles des hommes envers les femmes (Keller et al., 2018; Rousseau et al</w:t>
      </w:r>
      <w:r>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 2020;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Or, agresser sexuellement une personne est un choix et non un envoutement surnaturel dans lequel l’homme est prisonnier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L’agression sexuelle constitue un crime grave, et seule la personne qui la commet doit en être tenue responsable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w:t>
      </w:r>
    </w:p>
    <w:p w14:paraId="28D523E5"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13CEC8C8" w14:textId="77777777" w:rsidR="006F7996" w:rsidRPr="001A6BB9" w:rsidRDefault="006F7996" w:rsidP="006F7996">
      <w:pPr>
        <w:spacing w:line="360" w:lineRule="auto"/>
        <w:ind w:firstLine="708"/>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 xml:space="preserve">Dans les écoles secondaires, ce mythe peut être observé dans la manière dont les règles sont établies. Si les codes vestimentaires partent du principe que les garçons sont biologiquement conçus </w:t>
      </w:r>
      <w:r w:rsidRPr="001A6BB9">
        <w:rPr>
          <w:rFonts w:eastAsiaTheme="minorHAnsi"/>
          <w:color w:val="000000" w:themeColor="text1"/>
          <w:lang w:eastAsia="en-US"/>
          <w14:ligatures w14:val="standardContextual"/>
        </w:rPr>
        <w:lastRenderedPageBreak/>
        <w:t>avec une sexualité incontrôlable, il devient donc la responsabilité des filles de se protéger, voire de protéger les garçons eux-mêmes des ennuis qu’ils peuvent causer (</w:t>
      </w:r>
      <w:proofErr w:type="spellStart"/>
      <w:r w:rsidRPr="001A6BB9">
        <w:rPr>
          <w:rFonts w:eastAsiaTheme="minorHAnsi"/>
          <w:color w:val="000000" w:themeColor="text1"/>
          <w:lang w:eastAsia="en-US"/>
          <w14:ligatures w14:val="standardContextual"/>
        </w:rPr>
        <w:t>Ringrose</w:t>
      </w:r>
      <w:proofErr w:type="spellEnd"/>
      <w:r w:rsidRPr="001A6BB9">
        <w:rPr>
          <w:rFonts w:eastAsiaTheme="minorHAnsi"/>
          <w:color w:val="000000" w:themeColor="text1"/>
          <w:lang w:eastAsia="en-US"/>
          <w14:ligatures w14:val="standardContextual"/>
        </w:rPr>
        <w:t xml:space="preserve"> et </w:t>
      </w:r>
      <w:proofErr w:type="spellStart"/>
      <w:r w:rsidRPr="001A6BB9">
        <w:rPr>
          <w:rFonts w:eastAsiaTheme="minorHAnsi"/>
          <w:color w:val="000000" w:themeColor="text1"/>
          <w:lang w:eastAsia="en-US"/>
          <w14:ligatures w14:val="standardContextual"/>
        </w:rPr>
        <w:t>Renold</w:t>
      </w:r>
      <w:proofErr w:type="spellEnd"/>
      <w:r w:rsidRPr="001A6BB9">
        <w:rPr>
          <w:rFonts w:eastAsiaTheme="minorHAnsi"/>
          <w:color w:val="000000" w:themeColor="text1"/>
          <w:lang w:eastAsia="en-US"/>
          <w14:ligatures w14:val="standardContextual"/>
        </w:rPr>
        <w:t xml:space="preserve">, 2012;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Ce constat fait écho aux recherches de Moisant-Paquet (2022) et de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dans lesquelles les auteurs suggèrent que les politiques vestimentaires ont comme objectifs d’éviter de distraire les garçons. Il suggère que l’habillement des filles trop sexualisé peut provoquer de graves perturbations dans leurs écoles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Ils correspondent aussi au point de vue de l’agentivité telle que décrite par Lang (2011). En interdisant certains vêtements jugés trop sexy, les institutions académiques responsabilisent les filles à repousser l’expression de leur sexualité pour se protéger du désir masculin incontrôlable (Lang, 2011). Bref, les politiques vestimentaires des écoles secondaires ne sont que la représentation des valeurs véhiculées dans notre société (Rousseau et al., 2020;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2016).</w:t>
      </w:r>
    </w:p>
    <w:p w14:paraId="7EF96A28" w14:textId="77777777" w:rsidR="006F7996" w:rsidRPr="001A6BB9" w:rsidRDefault="006F7996" w:rsidP="006F7996">
      <w:pPr>
        <w:spacing w:line="360" w:lineRule="auto"/>
        <w:ind w:firstLine="708"/>
        <w:jc w:val="both"/>
        <w:rPr>
          <w:color w:val="000000" w:themeColor="text1"/>
        </w:rPr>
      </w:pPr>
    </w:p>
    <w:p w14:paraId="416A8800" w14:textId="77777777" w:rsidR="006F7996" w:rsidRPr="001A6BB9" w:rsidRDefault="006F7996" w:rsidP="006F7996">
      <w:pPr>
        <w:spacing w:line="360" w:lineRule="auto"/>
        <w:jc w:val="both"/>
        <w:rPr>
          <w:i/>
          <w:iCs/>
          <w:color w:val="000000" w:themeColor="text1"/>
        </w:rPr>
      </w:pPr>
      <w:r w:rsidRPr="001A6BB9">
        <w:rPr>
          <w:i/>
          <w:iCs/>
          <w:color w:val="000000" w:themeColor="text1"/>
        </w:rPr>
        <w:t>6.3 Interprétation des résultats</w:t>
      </w:r>
    </w:p>
    <w:p w14:paraId="2EF0516D" w14:textId="77777777" w:rsidR="006F7996" w:rsidRPr="001A6BB9" w:rsidRDefault="006F7996" w:rsidP="006F7996">
      <w:pPr>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L’analyse des données de l’ensemble des recherches effectuées démontre une forte hausse des agressions sexuelles déclarées depuis une décennie ainsi qu’un profil de victimisation où les adolescentes sont nettement surreprésentées (</w:t>
      </w:r>
      <w:proofErr w:type="gramStart"/>
      <w:r w:rsidRPr="001A6BB9">
        <w:rPr>
          <w:rFonts w:eastAsiaTheme="minorHAnsi"/>
          <w:color w:val="000000" w:themeColor="text1"/>
          <w:lang w:eastAsia="en-US"/>
          <w14:ligatures w14:val="standardContextual"/>
        </w:rPr>
        <w:t>Ministère</w:t>
      </w:r>
      <w:proofErr w:type="gramEnd"/>
      <w:r w:rsidRPr="001A6BB9">
        <w:rPr>
          <w:rFonts w:eastAsiaTheme="minorHAnsi"/>
          <w:color w:val="000000" w:themeColor="text1"/>
          <w:lang w:eastAsia="en-US"/>
          <w14:ligatures w14:val="standardContextual"/>
        </w:rPr>
        <w:t xml:space="preserve"> de la Sécurité publique, 2024). Toutefois, les données mettent en lumière que les statistiques policières ne reflètent qu’une infime fraction des violences réellement vécues, en raison d’un faible taux de dénonciation alimenté par la banalisation de la violence sexuelle, l’absence de reconnaissance de plusieurs formes d’abus ainsi qu’un faible soutien social présent dans plusieurs sphères de nos institutions (Bergeron et al., 2020; Lachapelle et al., 2024; Kelly, 2019; Rousseau et al., 2020;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w:t>
      </w:r>
    </w:p>
    <w:p w14:paraId="54708BE0" w14:textId="77777777" w:rsidR="006F7996" w:rsidRPr="001A6BB9" w:rsidRDefault="006F7996" w:rsidP="006F7996">
      <w:pPr>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 </w:t>
      </w:r>
    </w:p>
    <w:p w14:paraId="7CB302F0" w14:textId="77777777" w:rsidR="006F7996" w:rsidRPr="001A6BB9" w:rsidRDefault="006F7996" w:rsidP="006F7996">
      <w:pPr>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 xml:space="preserve">         Ce contexte sociétal sert de toile de fond aux politiques vestimentaires scolaires, qui s’inscrivent dans un discours où le corps des filles est constamment régulé, jugé et responsabilisé, et ce, depuis plusieurs années (Mercier, 2020; Otis et Brunelle, 1995). Les résultats de l’analyse récente des codes vestimentaires montrent que, malgré des variations entre les écoles, les règles reposent sur les mêmes fondements: la décence, la limitation de la peau exposée, la dissimulation de la silhouette et l’interdiction de vêtements associés à la sexualisation féminine. Ces normes contribuent à renforcer une régulation du corps des adolescentes. Le contrôle explicite des épaules, des jupes, des décolletés, des leggings ou des bretelles s’arrime à une vision du corps féminin comme potentiellement dérangeant ou dangereux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w:t>
      </w:r>
      <w:proofErr w:type="spellStart"/>
      <w:r w:rsidRPr="001A6BB9">
        <w:rPr>
          <w:rFonts w:eastAsiaTheme="minorHAnsi"/>
          <w:color w:val="000000" w:themeColor="text1"/>
          <w:lang w:eastAsia="en-US"/>
          <w14:ligatures w14:val="standardContextual"/>
        </w:rPr>
        <w:lastRenderedPageBreak/>
        <w:t>Zaccour</w:t>
      </w:r>
      <w:proofErr w:type="spellEnd"/>
      <w:r w:rsidRPr="001A6BB9">
        <w:rPr>
          <w:rFonts w:eastAsiaTheme="minorHAnsi"/>
          <w:color w:val="000000" w:themeColor="text1"/>
          <w:lang w:eastAsia="en-US"/>
          <w14:ligatures w14:val="standardContextual"/>
        </w:rPr>
        <w:t xml:space="preserve"> et Lessard, 2021). Elles contribuent aussi à diminuer le potentiel d’agentivité des jeunes filles en imposant des normes visant à contrôler leur corps et leur désir (Lang, 2011). Les résultats mettent en évidence le caractère genré des codes vestimentaires et maintien une perception socialement construite du corps féminin, considéré comme sexuellement suggestif, même en l’absence d’intentions sexuelles chez les adolescentes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xml:space="preserve">, 2016;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w:t>
      </w:r>
    </w:p>
    <w:p w14:paraId="7A84A6F9" w14:textId="77777777" w:rsidR="006F7996" w:rsidRPr="001A6BB9" w:rsidRDefault="006F7996" w:rsidP="006F7996">
      <w:pPr>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 </w:t>
      </w:r>
    </w:p>
    <w:p w14:paraId="4E068CFA"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Dans une perspective plus large, les résultats montrent que ces normes scolaires présentent des éléments se retrouvant dans la définition de la culture du viol. D’un côté, les politiques vestimentaires participent à responsabiliser les filles quant aux violences qu’elles pourraient subir, en leur imposant des restrictions censées les protéger du désir masculin perçu comme incontrôlable (Keller et al., 2018; Rousseau et al</w:t>
      </w:r>
      <w:r>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 2020;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De l’autre, ces politiques contribuent indirectement à déresponsabiliser les garçons, qui ne sont que rarement ciblés par les règles ou les interventions disciplinaires. Finalement, l’expérience des filles enrichit la notion de la culture du viol en venant confirmer que les filles se sentent stigmatisées et humiliées par des interventions du personnel qui mènent fréquemment à des mesures correctives qui reposent sur une évaluation subjective et discriminatoire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xml:space="preserve">, 2016;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2009).</w:t>
      </w:r>
    </w:p>
    <w:p w14:paraId="6C5B29A9"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Helvetica" w:eastAsiaTheme="minorHAnsi" w:hAnsi="Helvetica" w:cs="Helvetica"/>
          <w:color w:val="000000" w:themeColor="text1"/>
          <w:lang w:eastAsia="en-US"/>
          <w14:ligatures w14:val="standardContextual"/>
        </w:rPr>
      </w:pPr>
    </w:p>
    <w:p w14:paraId="005A263E" w14:textId="77777777" w:rsidR="006F7996" w:rsidRPr="001A6BB9" w:rsidRDefault="006F7996" w:rsidP="006F7996">
      <w:pPr>
        <w:spacing w:line="360" w:lineRule="auto"/>
        <w:jc w:val="both"/>
        <w:rPr>
          <w:b/>
          <w:bCs/>
          <w:color w:val="000000" w:themeColor="text1"/>
          <w:u w:val="single"/>
        </w:rPr>
      </w:pPr>
      <w:r w:rsidRPr="001A6BB9">
        <w:rPr>
          <w:b/>
          <w:bCs/>
          <w:color w:val="000000" w:themeColor="text1"/>
          <w:u w:val="single"/>
        </w:rPr>
        <w:t>7- Discussion</w:t>
      </w:r>
    </w:p>
    <w:p w14:paraId="1D79D6F1" w14:textId="77777777" w:rsidR="006F7996" w:rsidRPr="001A6BB9" w:rsidRDefault="006F7996" w:rsidP="006F7996">
      <w:pPr>
        <w:spacing w:line="360" w:lineRule="auto"/>
        <w:jc w:val="both"/>
        <w:rPr>
          <w:b/>
          <w:bCs/>
          <w:color w:val="000000" w:themeColor="text1"/>
          <w:u w:val="single"/>
        </w:rPr>
      </w:pPr>
    </w:p>
    <w:p w14:paraId="66379ACA" w14:textId="77777777" w:rsidR="006F7996" w:rsidRPr="001A6BB9" w:rsidRDefault="006F7996" w:rsidP="006F7996">
      <w:pPr>
        <w:autoSpaceDE w:val="0"/>
        <w:autoSpaceDN w:val="0"/>
        <w:adjustRightInd w:val="0"/>
        <w:spacing w:line="360" w:lineRule="auto"/>
        <w:jc w:val="both"/>
        <w:rPr>
          <w:rFonts w:eastAsiaTheme="minorHAnsi"/>
          <w:color w:val="000000" w:themeColor="text1"/>
          <w:lang w:eastAsia="en-US"/>
          <w14:ligatures w14:val="standardContextual"/>
        </w:rPr>
      </w:pPr>
      <w:r w:rsidRPr="001A6BB9">
        <w:rPr>
          <w:color w:val="000000" w:themeColor="text1"/>
        </w:rPr>
        <w:tab/>
      </w:r>
      <w:r w:rsidRPr="001A6BB9">
        <w:rPr>
          <w:rFonts w:eastAsiaTheme="minorHAnsi"/>
          <w:color w:val="000000" w:themeColor="text1"/>
          <w:lang w:eastAsia="en-US"/>
          <w14:ligatures w14:val="standardContextual"/>
        </w:rPr>
        <w:t xml:space="preserve">Le but de cette recherche était d’examiner comment les politiques vestimentaires des écoles secondaires publiques du Québec influencent la présence des violences sexuelles chez les jeunes. Bien que les politiques vestimentaires ne soient pas la cause directe des violences sexuelles chez les jeunes adolescentes, les résultats de l’analyse corroborent l’hypothèse selon laquelle ces politiques participent à la reproduction de la culture du viol en milieu scolaire. Lorsque l’on considère l’approche féministe et que l’on mobilise le concept de la culture du viol, les politiques vestimentaires apparaissent davantage problématiques. En effet, les résultats d’analyse révèlent que les politiques vestimentaires des écoles secondaires s’inscrivent dans la continuité du discours du viol au sein de leurs institutions. De plus, les interventions disciplinaires renforcent cette logique. Les résultats démontrent que ces pratiques contribuent à construire de jeunes adolescentes responsables de leur habillement afin de prévenir les violences sexuelles dont elles pourraient être </w:t>
      </w:r>
      <w:r w:rsidRPr="001A6BB9">
        <w:rPr>
          <w:rFonts w:eastAsiaTheme="minorHAnsi"/>
          <w:color w:val="000000" w:themeColor="text1"/>
          <w:lang w:eastAsia="en-US"/>
          <w14:ligatures w14:val="standardContextual"/>
        </w:rPr>
        <w:lastRenderedPageBreak/>
        <w:t>victimes, tout en déresponsabilisant les comportements masculins inappropriés en employant un discours de l’impunité de l’agresseur plutôt qu’à promouvoir une responsabilisation des valeurs respectueuses du corps des filles (</w:t>
      </w:r>
      <w:proofErr w:type="spellStart"/>
      <w:r w:rsidRPr="001A6BB9">
        <w:rPr>
          <w:rFonts w:eastAsiaTheme="minorHAnsi"/>
          <w:color w:val="000000" w:themeColor="text1"/>
          <w:lang w:eastAsia="en-US"/>
          <w14:ligatures w14:val="standardContextual"/>
        </w:rPr>
        <w:t>Harbach</w:t>
      </w:r>
      <w:proofErr w:type="spellEnd"/>
      <w:r w:rsidRPr="001A6BB9">
        <w:rPr>
          <w:rFonts w:eastAsiaTheme="minorHAnsi"/>
          <w:color w:val="000000" w:themeColor="text1"/>
          <w:lang w:eastAsia="en-US"/>
          <w14:ligatures w14:val="standardContextual"/>
        </w:rPr>
        <w:t xml:space="preserve">, 2016; Keller et al., 2018; Moisant-Paquet, 2022; </w:t>
      </w:r>
      <w:proofErr w:type="spellStart"/>
      <w:r w:rsidRPr="001A6BB9">
        <w:rPr>
          <w:rFonts w:eastAsiaTheme="minorHAnsi"/>
          <w:color w:val="000000" w:themeColor="text1"/>
          <w:lang w:eastAsia="en-US"/>
          <w14:ligatures w14:val="standardContextual"/>
        </w:rPr>
        <w:t>Raby</w:t>
      </w:r>
      <w:proofErr w:type="spellEnd"/>
      <w:r w:rsidRPr="001A6BB9">
        <w:rPr>
          <w:rFonts w:eastAsiaTheme="minorHAnsi"/>
          <w:color w:val="000000" w:themeColor="text1"/>
          <w:lang w:eastAsia="en-US"/>
          <w14:ligatures w14:val="standardContextual"/>
        </w:rPr>
        <w:t xml:space="preserve">, 2009;  </w:t>
      </w:r>
      <w:proofErr w:type="spellStart"/>
      <w:r w:rsidRPr="001A6BB9">
        <w:rPr>
          <w:rFonts w:eastAsiaTheme="minorHAnsi"/>
          <w:color w:val="000000" w:themeColor="text1"/>
          <w:lang w:eastAsia="en-US"/>
          <w14:ligatures w14:val="standardContextual"/>
        </w:rPr>
        <w:t>Ringrose</w:t>
      </w:r>
      <w:proofErr w:type="spellEnd"/>
      <w:r w:rsidRPr="001A6BB9">
        <w:rPr>
          <w:rFonts w:eastAsiaTheme="minorHAnsi"/>
          <w:color w:val="000000" w:themeColor="text1"/>
          <w:lang w:eastAsia="en-US"/>
          <w14:ligatures w14:val="standardContextual"/>
        </w:rPr>
        <w:t xml:space="preserve"> et </w:t>
      </w:r>
      <w:proofErr w:type="spellStart"/>
      <w:r w:rsidRPr="001A6BB9">
        <w:rPr>
          <w:rFonts w:eastAsiaTheme="minorHAnsi"/>
          <w:color w:val="000000" w:themeColor="text1"/>
          <w:lang w:eastAsia="en-US"/>
          <w14:ligatures w14:val="standardContextual"/>
        </w:rPr>
        <w:t>Renold</w:t>
      </w:r>
      <w:proofErr w:type="spellEnd"/>
      <w:r w:rsidRPr="001A6BB9">
        <w:rPr>
          <w:rFonts w:eastAsiaTheme="minorHAnsi"/>
          <w:color w:val="000000" w:themeColor="text1"/>
          <w:lang w:eastAsia="en-US"/>
          <w14:ligatures w14:val="standardContextual"/>
        </w:rPr>
        <w:t xml:space="preserve">, 2012; Rousseau et al., 2020; Suarez et </w:t>
      </w:r>
      <w:proofErr w:type="spellStart"/>
      <w:r w:rsidRPr="001A6BB9">
        <w:rPr>
          <w:rFonts w:eastAsiaTheme="minorHAnsi"/>
          <w:color w:val="000000" w:themeColor="text1"/>
          <w:lang w:eastAsia="en-US"/>
          <w14:ligatures w14:val="standardContextual"/>
        </w:rPr>
        <w:t>Gadalla</w:t>
      </w:r>
      <w:proofErr w:type="spellEnd"/>
      <w:r w:rsidRPr="001A6BB9">
        <w:rPr>
          <w:rFonts w:eastAsiaTheme="minorHAnsi"/>
          <w:color w:val="000000" w:themeColor="text1"/>
          <w:lang w:eastAsia="en-US"/>
          <w14:ligatures w14:val="standardContextual"/>
        </w:rPr>
        <w:t xml:space="preserve">, 2010;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w:t>
      </w:r>
    </w:p>
    <w:p w14:paraId="7E3A2B4B" w14:textId="77777777" w:rsidR="006F7996" w:rsidRPr="001A6BB9" w:rsidRDefault="006F7996" w:rsidP="006F7996">
      <w:pPr>
        <w:autoSpaceDE w:val="0"/>
        <w:autoSpaceDN w:val="0"/>
        <w:adjustRightInd w:val="0"/>
        <w:spacing w:line="360" w:lineRule="auto"/>
        <w:jc w:val="both"/>
        <w:rPr>
          <w:rFonts w:eastAsiaTheme="minorHAnsi"/>
          <w:color w:val="000000" w:themeColor="text1"/>
          <w:lang w:eastAsia="en-US"/>
          <w14:ligatures w14:val="standardContextual"/>
        </w:rPr>
      </w:pPr>
    </w:p>
    <w:p w14:paraId="189BDC60" w14:textId="77777777" w:rsidR="006F7996" w:rsidRPr="001A6BB9" w:rsidRDefault="006F7996" w:rsidP="006F7996">
      <w:pPr>
        <w:pStyle w:val="NormalWeb"/>
        <w:spacing w:before="0" w:beforeAutospacing="0" w:after="0" w:afterAutospacing="0" w:line="360" w:lineRule="auto"/>
        <w:jc w:val="both"/>
        <w:rPr>
          <w:b/>
          <w:bCs/>
          <w:color w:val="000000" w:themeColor="text1"/>
          <w:u w:val="single"/>
        </w:rPr>
      </w:pPr>
      <w:r w:rsidRPr="001A6BB9">
        <w:rPr>
          <w:b/>
          <w:bCs/>
          <w:color w:val="000000" w:themeColor="text1"/>
          <w:u w:val="single"/>
        </w:rPr>
        <w:t>8- Réflexion éthique</w:t>
      </w:r>
    </w:p>
    <w:p w14:paraId="2E621994" w14:textId="77777777" w:rsidR="006F7996" w:rsidRPr="001A6BB9" w:rsidRDefault="006F7996" w:rsidP="006F7996">
      <w:pPr>
        <w:spacing w:line="360" w:lineRule="auto"/>
        <w:jc w:val="both"/>
        <w:rPr>
          <w:b/>
          <w:bCs/>
          <w:color w:val="000000" w:themeColor="text1"/>
          <w:u w:val="single"/>
        </w:rPr>
      </w:pPr>
    </w:p>
    <w:p w14:paraId="047C2048" w14:textId="77777777" w:rsidR="006F7996" w:rsidRPr="001A6BB9" w:rsidRDefault="006F7996" w:rsidP="006F7996">
      <w:pPr>
        <w:spacing w:line="360" w:lineRule="auto"/>
        <w:ind w:firstLine="708"/>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Une réflexion éthique est ressortie de notre travail de recherche, soit celle de dévoiler ou non les noms des écoles secondaires publiques choisis. L’enjeu fut de se questionner à savoir si le dévoilement des écoles analysé</w:t>
      </w:r>
      <w:r>
        <w:rPr>
          <w:rFonts w:eastAsiaTheme="minorHAnsi"/>
          <w:color w:val="000000" w:themeColor="text1"/>
          <w:lang w:eastAsia="en-US"/>
          <w14:ligatures w14:val="standardContextual"/>
        </w:rPr>
        <w:t>es</w:t>
      </w:r>
      <w:r w:rsidRPr="001A6BB9">
        <w:rPr>
          <w:rFonts w:eastAsiaTheme="minorHAnsi"/>
          <w:color w:val="000000" w:themeColor="text1"/>
          <w:lang w:eastAsia="en-US"/>
          <w14:ligatures w14:val="standardContextual"/>
        </w:rPr>
        <w:t xml:space="preserve"> pourrait leur nuire d’une quelconque façon. Bien que les informations recueillies soient accessibles à tous sur internet, le choix de ne pas rendre public le nom des écoles en question a permis, d’une part, de respecter leur confidentialité, puisqu’elles n’ont pas donné d’autorisation officielle de partager les informations relatées dans cette analyse. D’autre part, énoncer les noms des écoles secondaires directement dans ce travail de recherche ainsi que des régions administratives où elles se trouvent pourraient leur causer un préjudice. En effet, les écoles en question pourraient devenir la cible de </w:t>
      </w:r>
      <w:r>
        <w:rPr>
          <w:rFonts w:eastAsiaTheme="minorHAnsi"/>
          <w:color w:val="000000" w:themeColor="text1"/>
          <w:lang w:eastAsia="en-US"/>
          <w14:ligatures w14:val="standardContextual"/>
        </w:rPr>
        <w:t>stigmatisation</w:t>
      </w:r>
      <w:r w:rsidRPr="001A6BB9">
        <w:rPr>
          <w:rFonts w:eastAsiaTheme="minorHAnsi"/>
          <w:color w:val="000000" w:themeColor="text1"/>
          <w:lang w:eastAsia="en-US"/>
          <w14:ligatures w14:val="standardContextual"/>
        </w:rPr>
        <w:t>. Puisque l’objectif de ce travail d’analyse est de mieux comprendre le rôle de la culture du viol dans les politiques vestimentaires des écoles secondaires publiques du Québec et non de discréditer ou de créer une controverse envers des écoles précises, l’exposition du nom des écoles est apparue comme étant peu importante.</w:t>
      </w:r>
    </w:p>
    <w:p w14:paraId="28EF11A5" w14:textId="77777777" w:rsidR="006F7996" w:rsidRPr="001A6BB9" w:rsidRDefault="006F7996" w:rsidP="006F7996">
      <w:pPr>
        <w:spacing w:line="360" w:lineRule="auto"/>
        <w:ind w:firstLine="708"/>
        <w:jc w:val="both"/>
        <w:rPr>
          <w:color w:val="000000" w:themeColor="text1"/>
        </w:rPr>
      </w:pPr>
    </w:p>
    <w:p w14:paraId="7684B636" w14:textId="77777777" w:rsidR="006F7996" w:rsidRPr="001A6BB9" w:rsidRDefault="006F7996" w:rsidP="006F7996">
      <w:pPr>
        <w:spacing w:line="360" w:lineRule="auto"/>
        <w:jc w:val="both"/>
        <w:rPr>
          <w:b/>
          <w:bCs/>
          <w:color w:val="000000" w:themeColor="text1"/>
          <w:u w:val="single"/>
        </w:rPr>
      </w:pPr>
      <w:r w:rsidRPr="001A6BB9">
        <w:rPr>
          <w:b/>
          <w:bCs/>
          <w:color w:val="000000" w:themeColor="text1"/>
          <w:u w:val="single"/>
        </w:rPr>
        <w:t>9- Conclusion</w:t>
      </w:r>
    </w:p>
    <w:p w14:paraId="5C4F3C90"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66D33F65" w14:textId="77777777" w:rsidR="006F7996"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r>
        <w:rPr>
          <w:color w:val="000000" w:themeColor="text1"/>
        </w:rPr>
        <w:tab/>
        <w:t xml:space="preserve">La </w:t>
      </w:r>
      <w:r w:rsidRPr="00941761">
        <w:rPr>
          <w:color w:val="000000" w:themeColor="text1"/>
        </w:rPr>
        <w:t xml:space="preserve">présente recherche s’est penchée sur l’analyse des politiques vestimentaires des écoles secondaires à la lumière des concepts liés à la culture du viol. </w:t>
      </w:r>
      <w:r>
        <w:rPr>
          <w:color w:val="000000" w:themeColor="text1"/>
        </w:rPr>
        <w:t xml:space="preserve">Un sujet qui a suscité un grand intérêt étant donné la forte présence des violences sexuelles chez les jeunes. </w:t>
      </w:r>
      <w:r w:rsidRPr="00941761">
        <w:rPr>
          <w:color w:val="000000" w:themeColor="text1"/>
        </w:rPr>
        <w:t xml:space="preserve">Les résultats mettent en évidence que, tant dans leur élaboration que dans leur </w:t>
      </w:r>
      <w:r>
        <w:rPr>
          <w:color w:val="000000" w:themeColor="text1"/>
        </w:rPr>
        <w:t xml:space="preserve">mise en </w:t>
      </w:r>
      <w:r w:rsidRPr="00941761">
        <w:rPr>
          <w:color w:val="000000" w:themeColor="text1"/>
        </w:rPr>
        <w:t xml:space="preserve">application, ces politiques s’inscrivent dans plusieurs mécanismes caractéristiques de cette culture. Ce constat invite à une remise en question critique, dans la mesure où ces politiques participent à une dynamique qui minimise la violence sexuelle, ou encore en attribue la responsabilité à des comportements individuels plutôt qu’à une culture </w:t>
      </w:r>
      <w:r>
        <w:rPr>
          <w:color w:val="000000" w:themeColor="text1"/>
        </w:rPr>
        <w:t>profondément</w:t>
      </w:r>
      <w:r w:rsidRPr="00941761">
        <w:rPr>
          <w:color w:val="000000" w:themeColor="text1"/>
        </w:rPr>
        <w:t xml:space="preserve"> ancrée au sein de la société.</w:t>
      </w:r>
      <w:r>
        <w:rPr>
          <w:color w:val="000000" w:themeColor="text1"/>
        </w:rPr>
        <w:t xml:space="preserve"> Ce travail de </w:t>
      </w:r>
      <w:r>
        <w:rPr>
          <w:color w:val="000000" w:themeColor="text1"/>
        </w:rPr>
        <w:lastRenderedPageBreak/>
        <w:t>recherche a permis de développer plusieurs arguments solides qui permettront, peut-être, l’émergence de changements au sein des établissements d’enseignement.</w:t>
      </w:r>
    </w:p>
    <w:p w14:paraId="50AD4337" w14:textId="77777777" w:rsidR="00AA37DA" w:rsidRPr="00D800C0" w:rsidRDefault="00AA37DA"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color w:val="000000" w:themeColor="text1"/>
        </w:rPr>
      </w:pPr>
    </w:p>
    <w:p w14:paraId="5133F2C9"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i/>
          <w:iCs/>
          <w:color w:val="000000" w:themeColor="text1"/>
          <w:lang w:eastAsia="en-US"/>
          <w14:ligatures w14:val="standardContextual"/>
        </w:rPr>
      </w:pPr>
      <w:r w:rsidRPr="001A6BB9">
        <w:rPr>
          <w:rFonts w:eastAsiaTheme="minorHAnsi"/>
          <w:i/>
          <w:iCs/>
          <w:color w:val="000000" w:themeColor="text1"/>
          <w:lang w:eastAsia="en-US"/>
          <w14:ligatures w14:val="standardContextual"/>
        </w:rPr>
        <w:t>9.1 Limites et recommandations</w:t>
      </w:r>
    </w:p>
    <w:p w14:paraId="50F5F4D7" w14:textId="310E8726"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ab/>
        <w:t xml:space="preserve">Les restrictions relatives à ce travail d’analyse, en </w:t>
      </w:r>
      <w:r>
        <w:rPr>
          <w:rFonts w:eastAsiaTheme="minorHAnsi"/>
          <w:color w:val="000000" w:themeColor="text1"/>
          <w:lang w:eastAsia="en-US"/>
          <w14:ligatures w14:val="standardContextual"/>
        </w:rPr>
        <w:t>matière</w:t>
      </w:r>
      <w:r w:rsidRPr="001A6BB9">
        <w:rPr>
          <w:rFonts w:eastAsiaTheme="minorHAnsi"/>
          <w:color w:val="000000" w:themeColor="text1"/>
          <w:lang w:eastAsia="en-US"/>
          <w14:ligatures w14:val="standardContextual"/>
        </w:rPr>
        <w:t xml:space="preserve"> de pages maximales et de nombre de mots, n’</w:t>
      </w:r>
      <w:r>
        <w:rPr>
          <w:rFonts w:eastAsiaTheme="minorHAnsi"/>
          <w:color w:val="000000" w:themeColor="text1"/>
          <w:lang w:eastAsia="en-US"/>
          <w14:ligatures w14:val="standardContextual"/>
        </w:rPr>
        <w:t>ont</w:t>
      </w:r>
      <w:r w:rsidRPr="001A6BB9">
        <w:rPr>
          <w:rFonts w:eastAsiaTheme="minorHAnsi"/>
          <w:color w:val="000000" w:themeColor="text1"/>
          <w:lang w:eastAsia="en-US"/>
          <w14:ligatures w14:val="standardContextual"/>
        </w:rPr>
        <w:t xml:space="preserve"> pas permis d</w:t>
      </w:r>
      <w:r>
        <w:rPr>
          <w:rFonts w:eastAsiaTheme="minorHAnsi"/>
          <w:color w:val="000000" w:themeColor="text1"/>
          <w:lang w:eastAsia="en-US"/>
          <w14:ligatures w14:val="standardContextual"/>
        </w:rPr>
        <w:t>e préciser davantage</w:t>
      </w:r>
      <w:r w:rsidRPr="001A6BB9">
        <w:rPr>
          <w:rFonts w:eastAsiaTheme="minorHAnsi"/>
          <w:color w:val="000000" w:themeColor="text1"/>
          <w:lang w:eastAsia="en-US"/>
          <w14:ligatures w14:val="standardContextual"/>
        </w:rPr>
        <w:t xml:space="preserve"> sur la communauté LGBTQ+. Puisque </w:t>
      </w:r>
      <w:r>
        <w:rPr>
          <w:rFonts w:eastAsiaTheme="minorHAnsi"/>
          <w:color w:val="000000" w:themeColor="text1"/>
          <w:lang w:eastAsia="en-US"/>
          <w14:ligatures w14:val="standardContextual"/>
        </w:rPr>
        <w:t>les recherches de Doucet et ses collaborateurs (2024) ont démontré que cette</w:t>
      </w:r>
      <w:r w:rsidRPr="001A6BB9">
        <w:rPr>
          <w:rFonts w:eastAsiaTheme="minorHAnsi"/>
          <w:color w:val="000000" w:themeColor="text1"/>
          <w:lang w:eastAsia="en-US"/>
          <w14:ligatures w14:val="standardContextual"/>
        </w:rPr>
        <w:t xml:space="preserve"> communauté fait partie des personnes à risques de violence sexuelle dans notre société, il aurait été intéressant d’explorer davantage la littérature spécifiquement sur cette communauté.</w:t>
      </w:r>
      <w:r>
        <w:rPr>
          <w:rFonts w:eastAsiaTheme="minorHAnsi"/>
          <w:color w:val="000000" w:themeColor="text1"/>
          <w:lang w:eastAsia="en-US"/>
          <w14:ligatures w14:val="standardContextual"/>
        </w:rPr>
        <w:t xml:space="preserve"> </w:t>
      </w:r>
      <w:r w:rsidR="0084188E">
        <w:rPr>
          <w:rFonts w:eastAsiaTheme="minorHAnsi"/>
          <w:color w:val="000000" w:themeColor="text1"/>
          <w:lang w:eastAsia="en-US"/>
          <w14:ligatures w14:val="standardContextual"/>
        </w:rPr>
        <w:t>Ainsi</w:t>
      </w:r>
      <w:r>
        <w:rPr>
          <w:rFonts w:eastAsiaTheme="minorHAnsi"/>
          <w:color w:val="000000" w:themeColor="text1"/>
          <w:lang w:eastAsia="en-US"/>
          <w14:ligatures w14:val="standardContextual"/>
        </w:rPr>
        <w:t xml:space="preserve">, l’analyse intersectionnelle des effets des politiques vestimentaires genrés sur les </w:t>
      </w:r>
      <w:r w:rsidRPr="001A6BB9">
        <w:rPr>
          <w:rFonts w:eastAsiaTheme="minorHAnsi"/>
          <w:color w:val="000000" w:themeColor="text1"/>
          <w:lang w:eastAsia="en-US"/>
          <w14:ligatures w14:val="standardContextual"/>
        </w:rPr>
        <w:t xml:space="preserve">jeunes de la communauté LGBTQ+ </w:t>
      </w:r>
      <w:r>
        <w:rPr>
          <w:rFonts w:eastAsiaTheme="minorHAnsi"/>
          <w:color w:val="000000" w:themeColor="text1"/>
          <w:lang w:eastAsia="en-US"/>
          <w14:ligatures w14:val="standardContextual"/>
        </w:rPr>
        <w:t xml:space="preserve">est une avenue à poursuivre. </w:t>
      </w:r>
      <w:r w:rsidRPr="001A6BB9">
        <w:rPr>
          <w:rFonts w:eastAsiaTheme="minorHAnsi"/>
          <w:color w:val="000000" w:themeColor="text1"/>
          <w:lang w:eastAsia="en-US"/>
          <w14:ligatures w14:val="standardContextual"/>
        </w:rPr>
        <w:t>Ensuite, il existe plusieurs recherches quant aux formes de violences sexuelles dans les milieux collégiaux et universitaires au Québec</w:t>
      </w:r>
      <w:r>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 mais </w:t>
      </w:r>
      <w:r>
        <w:rPr>
          <w:rFonts w:eastAsiaTheme="minorHAnsi"/>
          <w:color w:val="000000" w:themeColor="text1"/>
          <w:lang w:eastAsia="en-US"/>
          <w14:ligatures w14:val="standardContextual"/>
        </w:rPr>
        <w:t>très peu</w:t>
      </w:r>
      <w:r w:rsidRPr="001A6BB9">
        <w:rPr>
          <w:rFonts w:eastAsiaTheme="minorHAnsi"/>
          <w:color w:val="000000" w:themeColor="text1"/>
          <w:lang w:eastAsia="en-US"/>
          <w14:ligatures w14:val="standardContextual"/>
        </w:rPr>
        <w:t xml:space="preserve"> spécifiquement dans les écoles secondaires. Considérant la forte présence des agressions sexuelles au sein de la population adolescente, des recherches spécifiquement sur les formes d’agressions sexuelles dans les écoles secondaires seraient un exercice à poursuivre. </w:t>
      </w:r>
    </w:p>
    <w:p w14:paraId="06BEC48F" w14:textId="77777777" w:rsidR="006F7996" w:rsidRPr="001A6BB9" w:rsidRDefault="006F7996" w:rsidP="006F79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eastAsiaTheme="minorHAnsi"/>
          <w:color w:val="000000" w:themeColor="text1"/>
          <w:lang w:eastAsia="en-US"/>
          <w14:ligatures w14:val="standardContextual"/>
        </w:rPr>
      </w:pPr>
    </w:p>
    <w:p w14:paraId="5F875D5E" w14:textId="77777777" w:rsidR="006F7996" w:rsidRDefault="006F7996" w:rsidP="006F7996">
      <w:pPr>
        <w:pStyle w:val="NormalWeb"/>
        <w:spacing w:before="0" w:beforeAutospacing="0" w:after="0" w:afterAutospacing="0" w:line="360" w:lineRule="auto"/>
        <w:ind w:firstLine="708"/>
        <w:jc w:val="both"/>
        <w:rPr>
          <w:rFonts w:eastAsiaTheme="minorHAnsi"/>
          <w:color w:val="000000" w:themeColor="text1"/>
          <w:lang w:eastAsia="en-US"/>
          <w14:ligatures w14:val="standardContextual"/>
        </w:rPr>
      </w:pPr>
      <w:r w:rsidRPr="001A6BB9">
        <w:rPr>
          <w:rFonts w:eastAsiaTheme="minorHAnsi"/>
          <w:color w:val="000000" w:themeColor="text1"/>
          <w:lang w:eastAsia="en-US"/>
          <w14:ligatures w14:val="standardContextual"/>
        </w:rPr>
        <w:t>Pour conclure, trois recherches soumettent des solutions afin de diminuer les discours favorisant la culture du viol. Elles ont été choisies</w:t>
      </w:r>
      <w:r>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 car elles peuvent s’intégrer dans la construction et l</w:t>
      </w:r>
      <w:r>
        <w:rPr>
          <w:rFonts w:eastAsiaTheme="minorHAnsi"/>
          <w:color w:val="000000" w:themeColor="text1"/>
          <w:lang w:eastAsia="en-US"/>
          <w14:ligatures w14:val="standardContextual"/>
        </w:rPr>
        <w:t xml:space="preserve">a mise en </w:t>
      </w:r>
      <w:r w:rsidRPr="001A6BB9">
        <w:rPr>
          <w:rFonts w:eastAsiaTheme="minorHAnsi"/>
          <w:color w:val="000000" w:themeColor="text1"/>
          <w:lang w:eastAsia="en-US"/>
          <w14:ligatures w14:val="standardContextual"/>
        </w:rPr>
        <w:t xml:space="preserve">application des politiques des écoles secondaires. D’abord, </w:t>
      </w:r>
      <w:proofErr w:type="spellStart"/>
      <w:r w:rsidRPr="001A6BB9">
        <w:rPr>
          <w:rFonts w:eastAsiaTheme="minorHAnsi"/>
          <w:color w:val="000000" w:themeColor="text1"/>
          <w:lang w:eastAsia="en-US"/>
          <w14:ligatures w14:val="standardContextual"/>
        </w:rPr>
        <w:t>Wah</w:t>
      </w:r>
      <w:proofErr w:type="spellEnd"/>
      <w:r w:rsidRPr="001A6BB9">
        <w:rPr>
          <w:rFonts w:eastAsiaTheme="minorHAnsi"/>
          <w:color w:val="000000" w:themeColor="text1"/>
          <w:lang w:eastAsia="en-US"/>
          <w14:ligatures w14:val="standardContextual"/>
        </w:rPr>
        <w:t xml:space="preserve"> (2016) propose une solution concrète, soit l’adoption d’un uniforme non genré afin de favoriser l’égalité des sexes. Ensuite, les recherches de Lang (2011) suggèrent d’inclure davantage de jeunes, surtout les jeunes filles, dans la réflexion entourant les politiques.</w:t>
      </w:r>
      <w:r>
        <w:rPr>
          <w:rFonts w:eastAsiaTheme="minorHAnsi"/>
          <w:color w:val="000000" w:themeColor="text1"/>
          <w:lang w:eastAsia="en-US"/>
          <w14:ligatures w14:val="standardContextual"/>
        </w:rPr>
        <w:t xml:space="preserve"> Cette proposition pourrait s’inclure à l’intérieur même d</w:t>
      </w:r>
      <w:r w:rsidRPr="001A6BB9">
        <w:rPr>
          <w:rFonts w:eastAsiaTheme="minorHAnsi"/>
          <w:color w:val="000000" w:themeColor="text1"/>
          <w:lang w:eastAsia="en-US"/>
          <w14:ligatures w14:val="standardContextual"/>
        </w:rPr>
        <w:t>es conseils d’établissements</w:t>
      </w:r>
      <w:r>
        <w:rPr>
          <w:rFonts w:eastAsiaTheme="minorHAnsi"/>
          <w:color w:val="000000" w:themeColor="text1"/>
          <w:lang w:eastAsia="en-US"/>
          <w14:ligatures w14:val="standardContextual"/>
        </w:rPr>
        <w:t>.</w:t>
      </w:r>
      <w:r w:rsidRPr="001A6BB9">
        <w:rPr>
          <w:rFonts w:eastAsiaTheme="minorHAnsi"/>
          <w:color w:val="000000" w:themeColor="text1"/>
          <w:lang w:eastAsia="en-US"/>
          <w14:ligatures w14:val="standardContextual"/>
        </w:rPr>
        <w:t xml:space="preserve"> Finalement, les recherches de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proposent de contester notre discours collectif. Ils invitent tout un chacun à favoriser des formulations qui responsabilisent l’agresseur et qui « témoignent de la gravité des violences sexuelles » (</w:t>
      </w:r>
      <w:proofErr w:type="spellStart"/>
      <w:r w:rsidRPr="001A6BB9">
        <w:rPr>
          <w:rFonts w:eastAsiaTheme="minorHAnsi"/>
          <w:color w:val="000000" w:themeColor="text1"/>
          <w:lang w:eastAsia="en-US"/>
          <w14:ligatures w14:val="standardContextual"/>
        </w:rPr>
        <w:t>Zaccour</w:t>
      </w:r>
      <w:proofErr w:type="spellEnd"/>
      <w:r w:rsidRPr="001A6BB9">
        <w:rPr>
          <w:rFonts w:eastAsiaTheme="minorHAnsi"/>
          <w:color w:val="000000" w:themeColor="text1"/>
          <w:lang w:eastAsia="en-US"/>
          <w14:ligatures w14:val="standardContextual"/>
        </w:rPr>
        <w:t xml:space="preserve"> et Lessard, 2021, p. 188).</w:t>
      </w:r>
    </w:p>
    <w:p w14:paraId="67CFCAFF" w14:textId="77777777" w:rsidR="006F7996" w:rsidRDefault="006F7996" w:rsidP="006F7996">
      <w:pPr>
        <w:spacing w:line="360" w:lineRule="auto"/>
        <w:jc w:val="both"/>
        <w:rPr>
          <w:color w:val="000000" w:themeColor="text1"/>
        </w:rPr>
      </w:pPr>
    </w:p>
    <w:p w14:paraId="7BD2151C" w14:textId="77777777" w:rsidR="00F37658" w:rsidRDefault="00F37658" w:rsidP="006F7996">
      <w:pPr>
        <w:spacing w:line="360" w:lineRule="auto"/>
        <w:jc w:val="both"/>
        <w:rPr>
          <w:color w:val="000000" w:themeColor="text1"/>
        </w:rPr>
      </w:pPr>
    </w:p>
    <w:p w14:paraId="29AB8044" w14:textId="77777777" w:rsidR="006F7996" w:rsidRDefault="006F7996" w:rsidP="006F7996">
      <w:pPr>
        <w:spacing w:line="360" w:lineRule="auto"/>
        <w:jc w:val="both"/>
        <w:rPr>
          <w:color w:val="000000" w:themeColor="text1"/>
        </w:rPr>
      </w:pPr>
    </w:p>
    <w:p w14:paraId="33646C33" w14:textId="77777777" w:rsidR="006F7996" w:rsidRDefault="006F7996" w:rsidP="006F7996">
      <w:pPr>
        <w:spacing w:line="360" w:lineRule="auto"/>
        <w:jc w:val="both"/>
        <w:rPr>
          <w:color w:val="000000" w:themeColor="text1"/>
        </w:rPr>
      </w:pPr>
    </w:p>
    <w:p w14:paraId="2E979C8C" w14:textId="77777777" w:rsidR="006F7996" w:rsidRPr="001A6BB9" w:rsidRDefault="006F7996" w:rsidP="006F7996">
      <w:pPr>
        <w:spacing w:line="360" w:lineRule="auto"/>
        <w:jc w:val="both"/>
        <w:rPr>
          <w:color w:val="000000" w:themeColor="text1"/>
        </w:rPr>
      </w:pPr>
    </w:p>
    <w:p w14:paraId="095D6D4C" w14:textId="77777777" w:rsidR="006F7996" w:rsidRPr="001A6BB9" w:rsidRDefault="006F7996" w:rsidP="006F7996">
      <w:pPr>
        <w:spacing w:line="360" w:lineRule="auto"/>
        <w:jc w:val="both"/>
        <w:rPr>
          <w:b/>
          <w:bCs/>
          <w:color w:val="000000" w:themeColor="text1"/>
          <w:u w:val="single"/>
        </w:rPr>
      </w:pPr>
      <w:r w:rsidRPr="001A6BB9">
        <w:rPr>
          <w:b/>
          <w:bCs/>
          <w:color w:val="000000" w:themeColor="text1"/>
          <w:u w:val="single"/>
        </w:rPr>
        <w:lastRenderedPageBreak/>
        <w:t xml:space="preserve">10- Bibliographie </w:t>
      </w:r>
    </w:p>
    <w:p w14:paraId="6036A631" w14:textId="77777777" w:rsidR="006F7996" w:rsidRPr="001A6BB9" w:rsidRDefault="006F7996" w:rsidP="006F7996">
      <w:pPr>
        <w:spacing w:line="360" w:lineRule="auto"/>
        <w:jc w:val="both"/>
        <w:rPr>
          <w:color w:val="000000" w:themeColor="text1"/>
        </w:rPr>
      </w:pPr>
    </w:p>
    <w:p w14:paraId="2B929EBD" w14:textId="77777777" w:rsidR="006F7996" w:rsidRPr="001A6BB9" w:rsidRDefault="006F7996" w:rsidP="006F7996">
      <w:pPr>
        <w:spacing w:line="360" w:lineRule="auto"/>
        <w:jc w:val="both"/>
        <w:rPr>
          <w:color w:val="000000" w:themeColor="text1"/>
        </w:rPr>
      </w:pPr>
      <w:r w:rsidRPr="001A6BB9">
        <w:rPr>
          <w:color w:val="000000" w:themeColor="text1"/>
        </w:rPr>
        <w:t xml:space="preserve">1- </w:t>
      </w:r>
      <w:proofErr w:type="spellStart"/>
      <w:r w:rsidRPr="001A6BB9">
        <w:rPr>
          <w:color w:val="000000" w:themeColor="text1"/>
        </w:rPr>
        <w:t>Alloprof</w:t>
      </w:r>
      <w:proofErr w:type="spellEnd"/>
      <w:r>
        <w:rPr>
          <w:color w:val="000000" w:themeColor="text1"/>
        </w:rPr>
        <w:t>.</w:t>
      </w:r>
      <w:r w:rsidRPr="001A6BB9">
        <w:rPr>
          <w:color w:val="000000" w:themeColor="text1"/>
        </w:rPr>
        <w:t xml:space="preserve"> (</w:t>
      </w:r>
      <w:hyperlink r:id="rId7" w:history="1">
        <w:r w:rsidRPr="001A6BB9">
          <w:rPr>
            <w:rStyle w:val="Hyperlien"/>
            <w:color w:val="000000" w:themeColor="text1"/>
            <w:u w:val="none"/>
          </w:rPr>
          <w:t>https://www.alloprof.qc.ca/</w:t>
        </w:r>
      </w:hyperlink>
      <w:r w:rsidRPr="001A6BB9">
        <w:rPr>
          <w:color w:val="000000" w:themeColor="text1"/>
        </w:rPr>
        <w:t>)</w:t>
      </w:r>
      <w:r w:rsidRPr="001A6BB9">
        <w:rPr>
          <w:rStyle w:val="Accentuation"/>
          <w:color w:val="000000" w:themeColor="text1"/>
        </w:rPr>
        <w:t xml:space="preserve"> est un</w:t>
      </w:r>
      <w:r w:rsidRPr="001A6BB9">
        <w:rPr>
          <w:color w:val="000000" w:themeColor="text1"/>
        </w:rPr>
        <w:t xml:space="preserve"> site internet québécois qui contient, entre autres, </w:t>
      </w:r>
    </w:p>
    <w:p w14:paraId="32E07295" w14:textId="77777777" w:rsidR="006F7996" w:rsidRPr="001A6BB9" w:rsidRDefault="006F7996" w:rsidP="006F7996">
      <w:pPr>
        <w:spacing w:line="360" w:lineRule="auto"/>
        <w:ind w:firstLine="708"/>
        <w:jc w:val="both"/>
        <w:rPr>
          <w:color w:val="000000" w:themeColor="text1"/>
        </w:rPr>
      </w:pPr>
      <w:proofErr w:type="gramStart"/>
      <w:r w:rsidRPr="001A6BB9">
        <w:rPr>
          <w:color w:val="000000" w:themeColor="text1"/>
        </w:rPr>
        <w:t>des</w:t>
      </w:r>
      <w:proofErr w:type="gramEnd"/>
      <w:r w:rsidRPr="001A6BB9">
        <w:rPr>
          <w:color w:val="000000" w:themeColor="text1"/>
        </w:rPr>
        <w:t xml:space="preserve"> outils et des conseils afin de surmonter les difficultés scolaires. </w:t>
      </w:r>
    </w:p>
    <w:p w14:paraId="67988143" w14:textId="77777777" w:rsidR="006F7996" w:rsidRPr="001A6BB9" w:rsidRDefault="006F7996" w:rsidP="006F7996">
      <w:pPr>
        <w:spacing w:line="360" w:lineRule="auto"/>
        <w:ind w:firstLine="708"/>
        <w:jc w:val="both"/>
        <w:rPr>
          <w:color w:val="000000" w:themeColor="text1"/>
        </w:rPr>
      </w:pPr>
    </w:p>
    <w:p w14:paraId="60A3DDF3" w14:textId="77777777" w:rsidR="006F7996" w:rsidRPr="001A6BB9" w:rsidRDefault="006F7996" w:rsidP="006F7996">
      <w:pPr>
        <w:spacing w:line="360" w:lineRule="auto"/>
        <w:jc w:val="both"/>
        <w:rPr>
          <w:color w:val="000000" w:themeColor="text1"/>
        </w:rPr>
      </w:pPr>
      <w:r w:rsidRPr="001A6BB9">
        <w:rPr>
          <w:color w:val="000000" w:themeColor="text1"/>
        </w:rPr>
        <w:t xml:space="preserve">2- Bergeron, M., Gagnon, A., Blackburn, M-E., M-Lavoie, D., Paré, C., Roy, S., Szabo, A., et </w:t>
      </w:r>
    </w:p>
    <w:p w14:paraId="0986A1BA" w14:textId="77777777" w:rsidR="006F7996" w:rsidRPr="001A6BB9" w:rsidRDefault="006F7996" w:rsidP="006F7996">
      <w:pPr>
        <w:spacing w:line="360" w:lineRule="auto"/>
        <w:ind w:left="708"/>
        <w:jc w:val="both"/>
        <w:rPr>
          <w:color w:val="000000" w:themeColor="text1"/>
        </w:rPr>
      </w:pPr>
      <w:r w:rsidRPr="001A6BB9">
        <w:rPr>
          <w:color w:val="000000" w:themeColor="text1"/>
        </w:rPr>
        <w:t xml:space="preserve">Bourget, C. (2020). </w:t>
      </w:r>
      <w:r w:rsidRPr="001A6BB9">
        <w:rPr>
          <w:i/>
          <w:iCs/>
          <w:color w:val="000000" w:themeColor="text1"/>
        </w:rPr>
        <w:t>Rapport de</w:t>
      </w:r>
      <w:r w:rsidRPr="001A6BB9">
        <w:rPr>
          <w:color w:val="000000" w:themeColor="text1"/>
        </w:rPr>
        <w:t xml:space="preserve"> </w:t>
      </w:r>
      <w:r w:rsidRPr="001A6BB9">
        <w:rPr>
          <w:i/>
          <w:iCs/>
          <w:color w:val="000000" w:themeColor="text1"/>
        </w:rPr>
        <w:t>recherche de l’enquête PIECES : Violences sexuelles en milieu collégial au Québec</w:t>
      </w:r>
      <w:r w:rsidRPr="001A6BB9">
        <w:rPr>
          <w:color w:val="000000" w:themeColor="text1"/>
        </w:rPr>
        <w:t>. Chaire de recherche sur les violences sexistes et sexuelles en milieu d’enseignement supérieur, Université du Québec à Montréal. PIECES_Rapport-complet_Bergeronal-octobre-2020-2.pdf</w:t>
      </w:r>
    </w:p>
    <w:p w14:paraId="0CF70602" w14:textId="77777777" w:rsidR="006F7996" w:rsidRPr="001A6BB9" w:rsidRDefault="006F7996" w:rsidP="006F7996">
      <w:pPr>
        <w:spacing w:line="360" w:lineRule="auto"/>
        <w:ind w:left="708"/>
        <w:jc w:val="both"/>
        <w:rPr>
          <w:color w:val="000000" w:themeColor="text1"/>
        </w:rPr>
      </w:pPr>
    </w:p>
    <w:p w14:paraId="7BAE3F5C" w14:textId="77777777" w:rsidR="006F7996" w:rsidRPr="001A6BB9" w:rsidRDefault="006F7996" w:rsidP="006F7996">
      <w:pPr>
        <w:spacing w:line="360" w:lineRule="auto"/>
        <w:jc w:val="both"/>
        <w:rPr>
          <w:color w:val="000000" w:themeColor="text1"/>
        </w:rPr>
      </w:pPr>
      <w:r w:rsidRPr="001A6BB9">
        <w:rPr>
          <w:color w:val="000000" w:themeColor="text1"/>
        </w:rPr>
        <w:t xml:space="preserve">3- Carignan-Allard, M. et Bergeron, M. (2023). Les violences sexuelles en milieu collégial : </w:t>
      </w:r>
    </w:p>
    <w:p w14:paraId="66C194F2" w14:textId="77777777" w:rsidR="006F7996" w:rsidRPr="001A6BB9" w:rsidRDefault="006F7996" w:rsidP="006F7996">
      <w:pPr>
        <w:spacing w:line="360" w:lineRule="auto"/>
        <w:ind w:left="708"/>
        <w:jc w:val="both"/>
        <w:rPr>
          <w:color w:val="000000" w:themeColor="text1"/>
        </w:rPr>
      </w:pPr>
      <w:proofErr w:type="gramStart"/>
      <w:r w:rsidRPr="001A6BB9">
        <w:rPr>
          <w:color w:val="000000" w:themeColor="text1"/>
        </w:rPr>
        <w:t>portrait</w:t>
      </w:r>
      <w:proofErr w:type="gramEnd"/>
      <w:r w:rsidRPr="001A6BB9">
        <w:rPr>
          <w:color w:val="000000" w:themeColor="text1"/>
        </w:rPr>
        <w:t xml:space="preserve"> comparatif entre les étudiant.es des minorités sexuelles et de genre et les personnes hétérosexuelles cisgenres. </w:t>
      </w:r>
      <w:r w:rsidRPr="001A6BB9">
        <w:rPr>
          <w:i/>
          <w:iCs/>
          <w:color w:val="000000" w:themeColor="text1"/>
        </w:rPr>
        <w:t>Travail social</w:t>
      </w:r>
      <w:r w:rsidRPr="001A6BB9">
        <w:rPr>
          <w:color w:val="000000" w:themeColor="text1"/>
        </w:rPr>
        <w:t xml:space="preserve">, </w:t>
      </w:r>
      <w:r w:rsidRPr="001A6BB9">
        <w:rPr>
          <w:i/>
          <w:iCs/>
          <w:color w:val="000000" w:themeColor="text1"/>
        </w:rPr>
        <w:t>69</w:t>
      </w:r>
      <w:r w:rsidRPr="001A6BB9">
        <w:rPr>
          <w:color w:val="000000" w:themeColor="text1"/>
        </w:rPr>
        <w:t xml:space="preserve">(2), 119–135. </w:t>
      </w:r>
      <w:hyperlink r:id="rId8" w:history="1">
        <w:r w:rsidRPr="001A6BB9">
          <w:rPr>
            <w:rStyle w:val="Hyperlien"/>
            <w:color w:val="000000" w:themeColor="text1"/>
          </w:rPr>
          <w:t>https://doi.org/10.7202/1113798ar</w:t>
        </w:r>
      </w:hyperlink>
    </w:p>
    <w:p w14:paraId="2B7BF0BE" w14:textId="77777777" w:rsidR="006F7996" w:rsidRPr="001A6BB9" w:rsidRDefault="006F7996" w:rsidP="006F7996">
      <w:pPr>
        <w:spacing w:line="360" w:lineRule="auto"/>
        <w:jc w:val="both"/>
        <w:rPr>
          <w:b/>
          <w:bCs/>
          <w:color w:val="000000" w:themeColor="text1"/>
        </w:rPr>
      </w:pPr>
    </w:p>
    <w:p w14:paraId="4CCF60EB" w14:textId="77777777" w:rsidR="006F7996" w:rsidRPr="001A6BB9" w:rsidRDefault="006F7996" w:rsidP="006F7996">
      <w:pPr>
        <w:spacing w:line="360" w:lineRule="auto"/>
        <w:jc w:val="both"/>
        <w:rPr>
          <w:color w:val="000000" w:themeColor="text1"/>
        </w:rPr>
      </w:pPr>
      <w:r w:rsidRPr="001A6BB9">
        <w:rPr>
          <w:color w:val="000000" w:themeColor="text1"/>
        </w:rPr>
        <w:t xml:space="preserve">4- Carpentier, D. (2005, juin). </w:t>
      </w:r>
      <w:r w:rsidRPr="001A6BB9">
        <w:rPr>
          <w:i/>
          <w:iCs/>
          <w:color w:val="000000" w:themeColor="text1"/>
        </w:rPr>
        <w:t>Codes vestimentaires et uniformes dans les écoles publiques</w:t>
      </w:r>
      <w:r w:rsidRPr="001A6BB9">
        <w:rPr>
          <w:color w:val="000000" w:themeColor="text1"/>
        </w:rPr>
        <w:t>.</w:t>
      </w:r>
    </w:p>
    <w:p w14:paraId="4AC6048B" w14:textId="77777777" w:rsidR="006F7996" w:rsidRPr="001A6BB9" w:rsidRDefault="006F7996" w:rsidP="006F7996">
      <w:pPr>
        <w:spacing w:line="360" w:lineRule="auto"/>
        <w:ind w:left="708"/>
        <w:jc w:val="both"/>
        <w:rPr>
          <w:color w:val="000000" w:themeColor="text1"/>
        </w:rPr>
      </w:pPr>
      <w:r w:rsidRPr="001A6BB9">
        <w:rPr>
          <w:color w:val="000000" w:themeColor="text1"/>
        </w:rPr>
        <w:t xml:space="preserve">Commission des droits de la personne et des droits de la jeunesse. </w:t>
      </w:r>
      <w:hyperlink r:id="rId9" w:history="1">
        <w:r w:rsidRPr="001A6BB9">
          <w:rPr>
            <w:rStyle w:val="Hyperlien"/>
            <w:color w:val="000000" w:themeColor="text1"/>
          </w:rPr>
          <w:t>http://www.cdpdj.qc.ca/Publications/codes_vestimentaires.pdf</w:t>
        </w:r>
      </w:hyperlink>
    </w:p>
    <w:p w14:paraId="29A914ED" w14:textId="77777777" w:rsidR="006F7996" w:rsidRPr="001A6BB9" w:rsidRDefault="006F7996" w:rsidP="006F7996">
      <w:pPr>
        <w:spacing w:line="360" w:lineRule="auto"/>
        <w:ind w:left="708"/>
        <w:jc w:val="both"/>
        <w:rPr>
          <w:color w:val="000000" w:themeColor="text1"/>
        </w:rPr>
      </w:pPr>
    </w:p>
    <w:p w14:paraId="56948610" w14:textId="77777777" w:rsidR="006F7996" w:rsidRPr="001A6BB9" w:rsidRDefault="006F7996" w:rsidP="006F7996">
      <w:pPr>
        <w:spacing w:line="360" w:lineRule="auto"/>
        <w:jc w:val="both"/>
        <w:rPr>
          <w:color w:val="000000" w:themeColor="text1"/>
        </w:rPr>
      </w:pPr>
      <w:r w:rsidRPr="001A6BB9">
        <w:rPr>
          <w:color w:val="000000" w:themeColor="text1"/>
        </w:rPr>
        <w:t>5- Conseil du statut de la femme</w:t>
      </w:r>
      <w:r>
        <w:rPr>
          <w:color w:val="000000" w:themeColor="text1"/>
        </w:rPr>
        <w:t>.</w:t>
      </w:r>
      <w:r w:rsidRPr="001A6BB9">
        <w:rPr>
          <w:color w:val="000000" w:themeColor="text1"/>
        </w:rPr>
        <w:t xml:space="preserve"> (2025). </w:t>
      </w:r>
      <w:r w:rsidRPr="001A6BB9">
        <w:rPr>
          <w:i/>
          <w:iCs/>
          <w:color w:val="000000" w:themeColor="text1"/>
        </w:rPr>
        <w:t>Portrait des Québécoises</w:t>
      </w:r>
      <w:r w:rsidRPr="001A6BB9">
        <w:rPr>
          <w:color w:val="000000" w:themeColor="text1"/>
        </w:rPr>
        <w:t>. Édition 2024 – Violence.</w:t>
      </w:r>
    </w:p>
    <w:p w14:paraId="1AE7F5F9" w14:textId="77777777" w:rsidR="006F7996" w:rsidRPr="001A6BB9" w:rsidRDefault="006F7996" w:rsidP="006F7996">
      <w:pPr>
        <w:spacing w:line="360" w:lineRule="auto"/>
        <w:ind w:firstLine="708"/>
        <w:jc w:val="both"/>
        <w:rPr>
          <w:color w:val="000000" w:themeColor="text1"/>
        </w:rPr>
      </w:pPr>
      <w:r w:rsidRPr="001A6BB9">
        <w:rPr>
          <w:color w:val="000000" w:themeColor="text1"/>
        </w:rPr>
        <w:t>https://csf.gouv.qc.ca/wp-content/uploads/portrait-quebecoise-edition-violence.pdf</w:t>
      </w:r>
    </w:p>
    <w:p w14:paraId="4FD402FC" w14:textId="77777777" w:rsidR="006F7996" w:rsidRPr="001A6BB9" w:rsidRDefault="006F7996" w:rsidP="006F7996">
      <w:pPr>
        <w:spacing w:line="360" w:lineRule="auto"/>
        <w:ind w:left="708"/>
        <w:jc w:val="both"/>
        <w:rPr>
          <w:color w:val="000000" w:themeColor="text1"/>
        </w:rPr>
      </w:pPr>
    </w:p>
    <w:p w14:paraId="138359DD" w14:textId="77777777" w:rsidR="006F7996" w:rsidRPr="001A6BB9" w:rsidRDefault="006F7996" w:rsidP="006F7996">
      <w:pPr>
        <w:spacing w:line="360" w:lineRule="auto"/>
        <w:jc w:val="both"/>
        <w:rPr>
          <w:color w:val="000000" w:themeColor="text1"/>
        </w:rPr>
      </w:pPr>
      <w:r w:rsidRPr="001A6BB9">
        <w:rPr>
          <w:color w:val="000000" w:themeColor="text1"/>
        </w:rPr>
        <w:t xml:space="preserve">6- Doucet, S., Côté, I., </w:t>
      </w:r>
      <w:proofErr w:type="spellStart"/>
      <w:r w:rsidRPr="001A6BB9">
        <w:rPr>
          <w:color w:val="000000" w:themeColor="text1"/>
        </w:rPr>
        <w:t>Mantha</w:t>
      </w:r>
      <w:proofErr w:type="spellEnd"/>
      <w:r w:rsidRPr="001A6BB9">
        <w:rPr>
          <w:color w:val="000000" w:themeColor="text1"/>
        </w:rPr>
        <w:t xml:space="preserve">, A. et Blais, M. (2024). Particularités des violences à caractère </w:t>
      </w:r>
    </w:p>
    <w:p w14:paraId="311B1E5F" w14:textId="77777777" w:rsidR="006F7996" w:rsidRPr="001A6BB9" w:rsidRDefault="006F7996" w:rsidP="006F7996">
      <w:pPr>
        <w:spacing w:line="360" w:lineRule="auto"/>
        <w:ind w:left="708"/>
        <w:jc w:val="both"/>
        <w:rPr>
          <w:color w:val="000000" w:themeColor="text1"/>
        </w:rPr>
      </w:pPr>
      <w:proofErr w:type="gramStart"/>
      <w:r w:rsidRPr="001A6BB9">
        <w:rPr>
          <w:color w:val="000000" w:themeColor="text1"/>
        </w:rPr>
        <w:t>sexuel</w:t>
      </w:r>
      <w:proofErr w:type="gramEnd"/>
      <w:r w:rsidRPr="001A6BB9">
        <w:rPr>
          <w:color w:val="000000" w:themeColor="text1"/>
        </w:rPr>
        <w:t xml:space="preserve"> vécues par des personnes LGBTQ du Québec. </w:t>
      </w:r>
      <w:r w:rsidRPr="001A6BB9">
        <w:rPr>
          <w:i/>
          <w:iCs/>
          <w:color w:val="000000" w:themeColor="text1"/>
        </w:rPr>
        <w:t>Recherches féministes,</w:t>
      </w:r>
      <w:r w:rsidRPr="001A6BB9">
        <w:rPr>
          <w:color w:val="000000" w:themeColor="text1"/>
        </w:rPr>
        <w:t xml:space="preserve"> </w:t>
      </w:r>
      <w:r w:rsidRPr="001A6BB9">
        <w:rPr>
          <w:i/>
          <w:iCs/>
          <w:color w:val="000000" w:themeColor="text1"/>
        </w:rPr>
        <w:t>37</w:t>
      </w:r>
      <w:r w:rsidRPr="001A6BB9">
        <w:rPr>
          <w:color w:val="000000" w:themeColor="text1"/>
        </w:rPr>
        <w:t xml:space="preserve">(1), 203–221. </w:t>
      </w:r>
      <w:hyperlink r:id="rId10" w:history="1">
        <w:r w:rsidRPr="001A6BB9">
          <w:rPr>
            <w:rStyle w:val="Hyperlien"/>
            <w:color w:val="000000" w:themeColor="text1"/>
          </w:rPr>
          <w:t>https://doi.org/10.7202/1114142ar</w:t>
        </w:r>
      </w:hyperlink>
    </w:p>
    <w:p w14:paraId="7868E6FE" w14:textId="77777777" w:rsidR="006F7996" w:rsidRPr="001A6BB9" w:rsidRDefault="006F7996" w:rsidP="006F7996">
      <w:pPr>
        <w:spacing w:line="360" w:lineRule="auto"/>
        <w:ind w:left="708"/>
        <w:jc w:val="both"/>
        <w:rPr>
          <w:color w:val="000000" w:themeColor="text1"/>
        </w:rPr>
      </w:pPr>
    </w:p>
    <w:p w14:paraId="6B729F39" w14:textId="77777777" w:rsidR="006F7996" w:rsidRPr="001A6BB9" w:rsidRDefault="006F7996" w:rsidP="006F7996">
      <w:pPr>
        <w:spacing w:line="360" w:lineRule="auto"/>
        <w:jc w:val="both"/>
        <w:rPr>
          <w:color w:val="000000" w:themeColor="text1"/>
        </w:rPr>
      </w:pPr>
      <w:r w:rsidRPr="001A6BB9">
        <w:rPr>
          <w:color w:val="000000" w:themeColor="text1"/>
        </w:rPr>
        <w:t>7- Dupuis-</w:t>
      </w:r>
      <w:proofErr w:type="spellStart"/>
      <w:r w:rsidRPr="001A6BB9">
        <w:rPr>
          <w:color w:val="000000" w:themeColor="text1"/>
        </w:rPr>
        <w:t>Déri</w:t>
      </w:r>
      <w:proofErr w:type="spellEnd"/>
      <w:r w:rsidRPr="001A6BB9">
        <w:rPr>
          <w:color w:val="000000" w:themeColor="text1"/>
        </w:rPr>
        <w:t xml:space="preserve">, F. (2012). Le discours de la « crise de la masculinité » comme refus de l’égalité </w:t>
      </w:r>
    </w:p>
    <w:p w14:paraId="27533EC7" w14:textId="77777777" w:rsidR="006F7996" w:rsidRPr="001A6BB9" w:rsidRDefault="006F7996" w:rsidP="006F7996">
      <w:pPr>
        <w:spacing w:line="360" w:lineRule="auto"/>
        <w:ind w:left="708"/>
        <w:jc w:val="both"/>
        <w:rPr>
          <w:color w:val="000000" w:themeColor="text1"/>
        </w:rPr>
      </w:pPr>
      <w:proofErr w:type="gramStart"/>
      <w:r w:rsidRPr="001A6BB9">
        <w:rPr>
          <w:color w:val="000000" w:themeColor="text1"/>
        </w:rPr>
        <w:t>entre</w:t>
      </w:r>
      <w:proofErr w:type="gramEnd"/>
      <w:r w:rsidRPr="001A6BB9">
        <w:rPr>
          <w:color w:val="000000" w:themeColor="text1"/>
        </w:rPr>
        <w:t xml:space="preserve"> les sexes : histoire d’une rhétorique antiféministe.</w:t>
      </w:r>
      <w:r w:rsidRPr="001A6BB9">
        <w:rPr>
          <w:rStyle w:val="apple-converted-space"/>
          <w:rFonts w:eastAsiaTheme="majorEastAsia"/>
          <w:color w:val="000000" w:themeColor="text1"/>
        </w:rPr>
        <w:t> </w:t>
      </w:r>
      <w:r w:rsidRPr="001A6BB9">
        <w:rPr>
          <w:rStyle w:val="Accentuation"/>
          <w:rFonts w:eastAsiaTheme="majorEastAsia"/>
          <w:color w:val="000000" w:themeColor="text1"/>
        </w:rPr>
        <w:t>Recherches féministes</w:t>
      </w:r>
      <w:r w:rsidRPr="001A6BB9">
        <w:rPr>
          <w:color w:val="000000" w:themeColor="text1"/>
        </w:rPr>
        <w:t>,</w:t>
      </w:r>
      <w:r w:rsidRPr="001A6BB9">
        <w:rPr>
          <w:rStyle w:val="apple-converted-space"/>
          <w:rFonts w:eastAsiaTheme="majorEastAsia"/>
          <w:color w:val="000000" w:themeColor="text1"/>
        </w:rPr>
        <w:t> </w:t>
      </w:r>
      <w:r w:rsidRPr="001A6BB9">
        <w:rPr>
          <w:rStyle w:val="Accentuation"/>
          <w:rFonts w:eastAsiaTheme="majorEastAsia"/>
          <w:color w:val="000000" w:themeColor="text1"/>
        </w:rPr>
        <w:t>25</w:t>
      </w:r>
      <w:r w:rsidRPr="001A6BB9">
        <w:rPr>
          <w:color w:val="000000" w:themeColor="text1"/>
        </w:rPr>
        <w:t>(1), 89–109. https://doi.org/10.7202/1011118ar</w:t>
      </w:r>
    </w:p>
    <w:p w14:paraId="3F9C0F84" w14:textId="77777777" w:rsidR="006F7996" w:rsidRPr="001A6BB9" w:rsidRDefault="006F7996" w:rsidP="006F7996">
      <w:pPr>
        <w:pStyle w:val="p1"/>
        <w:spacing w:line="360" w:lineRule="auto"/>
        <w:jc w:val="both"/>
        <w:rPr>
          <w:rFonts w:ascii="Times New Roman" w:hAnsi="Times New Roman" w:cs="Times New Roman"/>
          <w:color w:val="000000" w:themeColor="text1"/>
          <w:sz w:val="24"/>
          <w:szCs w:val="24"/>
        </w:rPr>
      </w:pPr>
    </w:p>
    <w:p w14:paraId="610C0FC5" w14:textId="77777777" w:rsidR="006F7996" w:rsidRPr="001A6BB9" w:rsidRDefault="006F7996" w:rsidP="006F7996">
      <w:pPr>
        <w:pStyle w:val="p1"/>
        <w:spacing w:line="360" w:lineRule="auto"/>
        <w:jc w:val="both"/>
        <w:rPr>
          <w:rFonts w:ascii="Times New Roman" w:hAnsi="Times New Roman" w:cs="Times New Roman"/>
          <w:color w:val="000000" w:themeColor="text1"/>
          <w:sz w:val="24"/>
          <w:szCs w:val="24"/>
          <w:lang w:val="en-CA"/>
        </w:rPr>
      </w:pPr>
      <w:r w:rsidRPr="001A6BB9">
        <w:rPr>
          <w:rFonts w:ascii="Times New Roman" w:hAnsi="Times New Roman" w:cs="Times New Roman"/>
          <w:color w:val="000000" w:themeColor="text1"/>
          <w:sz w:val="24"/>
          <w:szCs w:val="24"/>
          <w:lang w:val="en-CA"/>
        </w:rPr>
        <w:lastRenderedPageBreak/>
        <w:t xml:space="preserve">8- Harbach, M. J. (2016). Sexualization, sex discrimination, and </w:t>
      </w:r>
      <w:proofErr w:type="gramStart"/>
      <w:r w:rsidRPr="001A6BB9">
        <w:rPr>
          <w:rFonts w:ascii="Times New Roman" w:hAnsi="Times New Roman" w:cs="Times New Roman"/>
          <w:color w:val="000000" w:themeColor="text1"/>
          <w:sz w:val="24"/>
          <w:szCs w:val="24"/>
          <w:lang w:val="en-CA"/>
        </w:rPr>
        <w:t>public school</w:t>
      </w:r>
      <w:proofErr w:type="gramEnd"/>
      <w:r w:rsidRPr="001A6BB9">
        <w:rPr>
          <w:rFonts w:ascii="Times New Roman" w:hAnsi="Times New Roman" w:cs="Times New Roman"/>
          <w:color w:val="000000" w:themeColor="text1"/>
          <w:sz w:val="24"/>
          <w:szCs w:val="24"/>
          <w:lang w:val="en-CA"/>
        </w:rPr>
        <w:t xml:space="preserve"> dress codes. </w:t>
      </w:r>
    </w:p>
    <w:p w14:paraId="26C5EA16" w14:textId="77777777" w:rsidR="006F7996" w:rsidRPr="001A6BB9" w:rsidRDefault="006F7996" w:rsidP="006F7996">
      <w:pPr>
        <w:pStyle w:val="p1"/>
        <w:spacing w:line="360" w:lineRule="auto"/>
        <w:ind w:left="708"/>
        <w:jc w:val="both"/>
        <w:rPr>
          <w:rFonts w:ascii="Helvetica" w:hAnsi="Helvetica" w:cs="Times New Roman"/>
          <w:color w:val="000000" w:themeColor="text1"/>
          <w:sz w:val="9"/>
          <w:szCs w:val="9"/>
          <w:lang w:val="en-CA"/>
        </w:rPr>
      </w:pPr>
      <w:r w:rsidRPr="001A6BB9">
        <w:rPr>
          <w:rFonts w:ascii="Times New Roman" w:hAnsi="Times New Roman" w:cs="Times New Roman"/>
          <w:i/>
          <w:iCs/>
          <w:color w:val="000000" w:themeColor="text1"/>
          <w:sz w:val="24"/>
          <w:szCs w:val="24"/>
          <w:lang w:val="en-CA"/>
        </w:rPr>
        <w:t>University of Richmond Law Review</w:t>
      </w:r>
      <w:r w:rsidRPr="001A6BB9">
        <w:rPr>
          <w:rFonts w:ascii="Times New Roman" w:hAnsi="Times New Roman" w:cs="Times New Roman"/>
          <w:color w:val="000000" w:themeColor="text1"/>
          <w:sz w:val="24"/>
          <w:szCs w:val="24"/>
          <w:lang w:val="en-CA"/>
        </w:rPr>
        <w:t xml:space="preserve">, </w:t>
      </w:r>
      <w:r w:rsidRPr="001A6BB9">
        <w:rPr>
          <w:rFonts w:ascii="Times New Roman" w:hAnsi="Times New Roman" w:cs="Times New Roman"/>
          <w:i/>
          <w:iCs/>
          <w:color w:val="000000" w:themeColor="text1"/>
          <w:sz w:val="24"/>
          <w:szCs w:val="24"/>
          <w:lang w:val="en-CA"/>
        </w:rPr>
        <w:t>50</w:t>
      </w:r>
      <w:r w:rsidRPr="001A6BB9">
        <w:rPr>
          <w:rFonts w:ascii="Times New Roman" w:hAnsi="Times New Roman" w:cs="Times New Roman"/>
          <w:color w:val="000000" w:themeColor="text1"/>
          <w:sz w:val="24"/>
          <w:szCs w:val="24"/>
          <w:lang w:val="en-CA"/>
        </w:rPr>
        <w:t xml:space="preserve">(3), 1039-1062. </w:t>
      </w:r>
      <w:r w:rsidRPr="001A6BB9">
        <w:rPr>
          <w:rFonts w:ascii="Times New Roman" w:hAnsi="Times New Roman" w:cs="Times New Roman"/>
          <w:b/>
          <w:bCs/>
          <w:color w:val="000000" w:themeColor="text1"/>
          <w:sz w:val="24"/>
          <w:szCs w:val="24"/>
          <w:lang w:val="en-CA"/>
        </w:rPr>
        <w:t> </w:t>
      </w:r>
      <w:r w:rsidRPr="001A6BB9">
        <w:rPr>
          <w:rFonts w:ascii="Times New Roman" w:hAnsi="Times New Roman" w:cs="Times New Roman"/>
          <w:color w:val="000000" w:themeColor="text1"/>
          <w:sz w:val="24"/>
          <w:szCs w:val="24"/>
          <w:lang w:val="en-CA"/>
        </w:rPr>
        <w:t>https://heinonline.org/HOL/Page?handle=hein.journals/urich50&amp;id=1077</w:t>
      </w:r>
    </w:p>
    <w:p w14:paraId="11B20897" w14:textId="77777777" w:rsidR="006F7996" w:rsidRPr="001A6BB9" w:rsidRDefault="006F7996" w:rsidP="006F7996">
      <w:pPr>
        <w:spacing w:line="360" w:lineRule="auto"/>
        <w:jc w:val="both"/>
        <w:rPr>
          <w:color w:val="000000" w:themeColor="text1"/>
          <w:lang w:val="en-CA"/>
        </w:rPr>
      </w:pPr>
    </w:p>
    <w:p w14:paraId="76003DFA" w14:textId="77777777" w:rsidR="006F7996" w:rsidRPr="001A6BB9" w:rsidRDefault="006F7996" w:rsidP="006F7996">
      <w:pPr>
        <w:spacing w:line="360" w:lineRule="auto"/>
        <w:jc w:val="both"/>
        <w:rPr>
          <w:i/>
          <w:iCs/>
          <w:color w:val="000000" w:themeColor="text1"/>
        </w:rPr>
      </w:pPr>
      <w:r w:rsidRPr="001A6BB9">
        <w:rPr>
          <w:color w:val="000000" w:themeColor="text1"/>
        </w:rPr>
        <w:t xml:space="preserve">9- Hébert, M., Cyr, M. et </w:t>
      </w:r>
      <w:proofErr w:type="spellStart"/>
      <w:r w:rsidRPr="001A6BB9">
        <w:rPr>
          <w:color w:val="000000" w:themeColor="text1"/>
        </w:rPr>
        <w:t>Tourigny</w:t>
      </w:r>
      <w:proofErr w:type="spellEnd"/>
      <w:r w:rsidRPr="001A6BB9">
        <w:rPr>
          <w:color w:val="000000" w:themeColor="text1"/>
        </w:rPr>
        <w:t xml:space="preserve">, M. (2011). </w:t>
      </w:r>
      <w:r w:rsidRPr="001A6BB9">
        <w:rPr>
          <w:i/>
          <w:iCs/>
          <w:color w:val="000000" w:themeColor="text1"/>
        </w:rPr>
        <w:t xml:space="preserve">L’agression sexuelle envers les enfants - Tome 1 </w:t>
      </w:r>
    </w:p>
    <w:p w14:paraId="025697B6" w14:textId="77777777" w:rsidR="006F7996" w:rsidRPr="001A6BB9" w:rsidRDefault="006F7996" w:rsidP="006F7996">
      <w:pPr>
        <w:spacing w:line="360" w:lineRule="auto"/>
        <w:ind w:firstLine="708"/>
        <w:jc w:val="both"/>
        <w:rPr>
          <w:color w:val="000000" w:themeColor="text1"/>
        </w:rPr>
      </w:pPr>
      <w:r w:rsidRPr="001A6BB9">
        <w:rPr>
          <w:color w:val="000000" w:themeColor="text1"/>
          <w:shd w:val="clear" w:color="auto" w:fill="FAFDFE"/>
        </w:rPr>
        <w:t>(1</w:t>
      </w:r>
      <w:r w:rsidRPr="001A6BB9">
        <w:rPr>
          <w:color w:val="000000" w:themeColor="text1"/>
          <w:sz w:val="18"/>
          <w:szCs w:val="18"/>
          <w:vertAlign w:val="superscript"/>
        </w:rPr>
        <w:t>e</w:t>
      </w:r>
      <w:r w:rsidRPr="001A6BB9">
        <w:rPr>
          <w:rStyle w:val="apple-converted-space"/>
          <w:color w:val="000000" w:themeColor="text1"/>
          <w:shd w:val="clear" w:color="auto" w:fill="FAFDFE"/>
        </w:rPr>
        <w:t> </w:t>
      </w:r>
      <w:r w:rsidRPr="001A6BB9">
        <w:rPr>
          <w:color w:val="000000" w:themeColor="text1"/>
          <w:shd w:val="clear" w:color="auto" w:fill="FAFDFE"/>
        </w:rPr>
        <w:t>éd.</w:t>
      </w:r>
      <w:r w:rsidRPr="001A6BB9">
        <w:rPr>
          <w:color w:val="000000" w:themeColor="text1"/>
        </w:rPr>
        <w:t>). Les Presses de l’université du Québec.</w:t>
      </w:r>
    </w:p>
    <w:p w14:paraId="4F06C635" w14:textId="77777777" w:rsidR="006F7996" w:rsidRPr="001A6BB9" w:rsidRDefault="006F7996" w:rsidP="006F7996">
      <w:pPr>
        <w:shd w:val="clear" w:color="auto" w:fill="FFFFFF"/>
        <w:spacing w:line="360" w:lineRule="auto"/>
        <w:jc w:val="both"/>
        <w:rPr>
          <w:color w:val="000000" w:themeColor="text1"/>
        </w:rPr>
      </w:pPr>
    </w:p>
    <w:p w14:paraId="51EEB5B9" w14:textId="77777777" w:rsidR="006F7996" w:rsidRPr="001A6BB9" w:rsidRDefault="006F7996" w:rsidP="006F7996">
      <w:pPr>
        <w:spacing w:line="360" w:lineRule="auto"/>
        <w:jc w:val="both"/>
        <w:rPr>
          <w:color w:val="000000" w:themeColor="text1"/>
          <w:lang w:val="en-CA"/>
        </w:rPr>
      </w:pPr>
      <w:r w:rsidRPr="001A6BB9">
        <w:rPr>
          <w:color w:val="000000" w:themeColor="text1"/>
          <w:lang w:val="en-CA"/>
        </w:rPr>
        <w:t xml:space="preserve">10- Keller, J., Mendes, K., et Ringrose, J. (2018) Speaking « unspeakable things »: </w:t>
      </w:r>
    </w:p>
    <w:p w14:paraId="4DBE5C36" w14:textId="77777777" w:rsidR="006F7996" w:rsidRPr="001A6BB9" w:rsidRDefault="006F7996" w:rsidP="006F7996">
      <w:pPr>
        <w:spacing w:line="360" w:lineRule="auto"/>
        <w:ind w:firstLine="708"/>
        <w:jc w:val="both"/>
        <w:rPr>
          <w:color w:val="000000" w:themeColor="text1"/>
          <w:lang w:val="en-CA"/>
        </w:rPr>
      </w:pPr>
      <w:r w:rsidRPr="001A6BB9">
        <w:rPr>
          <w:color w:val="000000" w:themeColor="text1"/>
          <w:lang w:val="en-CA"/>
        </w:rPr>
        <w:t xml:space="preserve">documenting digital feminist responses to rape culture, </w:t>
      </w:r>
      <w:r w:rsidRPr="001A6BB9">
        <w:rPr>
          <w:i/>
          <w:iCs/>
          <w:color w:val="000000" w:themeColor="text1"/>
          <w:lang w:val="en-CA"/>
        </w:rPr>
        <w:t>Journal of Gender Studies, 27</w:t>
      </w:r>
      <w:r w:rsidRPr="001A6BB9">
        <w:rPr>
          <w:color w:val="000000" w:themeColor="text1"/>
          <w:lang w:val="en-CA"/>
        </w:rPr>
        <w:t xml:space="preserve">(1), </w:t>
      </w:r>
    </w:p>
    <w:p w14:paraId="1AE473F0" w14:textId="77777777" w:rsidR="006F7996" w:rsidRPr="001A6BB9" w:rsidRDefault="006F7996" w:rsidP="006F7996">
      <w:pPr>
        <w:spacing w:line="360" w:lineRule="auto"/>
        <w:ind w:firstLine="708"/>
        <w:jc w:val="both"/>
        <w:rPr>
          <w:color w:val="000000" w:themeColor="text1"/>
        </w:rPr>
      </w:pPr>
      <w:r w:rsidRPr="001A6BB9">
        <w:rPr>
          <w:color w:val="000000" w:themeColor="text1"/>
        </w:rPr>
        <w:t>22-36. DOI: 10.1080/09589236.2016.1211511</w:t>
      </w:r>
    </w:p>
    <w:p w14:paraId="49407C61" w14:textId="77777777" w:rsidR="006F7996" w:rsidRPr="001A6BB9" w:rsidRDefault="006F7996" w:rsidP="006F7996">
      <w:pPr>
        <w:shd w:val="clear" w:color="auto" w:fill="FFFFFF"/>
        <w:spacing w:line="360" w:lineRule="auto"/>
        <w:ind w:left="708"/>
        <w:jc w:val="both"/>
        <w:rPr>
          <w:color w:val="000000" w:themeColor="text1"/>
        </w:rPr>
      </w:pPr>
    </w:p>
    <w:p w14:paraId="49F065F0" w14:textId="77777777" w:rsidR="006F7996" w:rsidRPr="001A6BB9" w:rsidRDefault="006F7996" w:rsidP="006F7996">
      <w:pPr>
        <w:spacing w:line="360" w:lineRule="auto"/>
        <w:jc w:val="both"/>
        <w:rPr>
          <w:color w:val="000000" w:themeColor="text1"/>
        </w:rPr>
      </w:pPr>
      <w:r w:rsidRPr="001A6BB9">
        <w:rPr>
          <w:color w:val="000000" w:themeColor="text1"/>
        </w:rPr>
        <w:t xml:space="preserve">11- Kelly, L., traduit de l’anglais par </w:t>
      </w:r>
      <w:proofErr w:type="spellStart"/>
      <w:r w:rsidRPr="001A6BB9">
        <w:rPr>
          <w:color w:val="000000" w:themeColor="text1"/>
        </w:rPr>
        <w:t>Tillous</w:t>
      </w:r>
      <w:proofErr w:type="spellEnd"/>
      <w:r w:rsidRPr="001A6BB9">
        <w:rPr>
          <w:color w:val="000000" w:themeColor="text1"/>
        </w:rPr>
        <w:t xml:space="preserve">, M. (2019). Le continuum de la violence sexuelle. </w:t>
      </w:r>
    </w:p>
    <w:p w14:paraId="268373B8" w14:textId="77777777" w:rsidR="006F7996" w:rsidRPr="001A6BB9" w:rsidRDefault="006F7996" w:rsidP="006F7996">
      <w:pPr>
        <w:spacing w:line="360" w:lineRule="auto"/>
        <w:ind w:firstLine="708"/>
        <w:jc w:val="both"/>
        <w:rPr>
          <w:i/>
          <w:iCs/>
          <w:color w:val="000000" w:themeColor="text1"/>
        </w:rPr>
      </w:pPr>
      <w:r w:rsidRPr="001A6BB9">
        <w:rPr>
          <w:i/>
          <w:iCs/>
          <w:color w:val="000000" w:themeColor="text1"/>
        </w:rPr>
        <w:t>Cahier du genre</w:t>
      </w:r>
      <w:r w:rsidRPr="001A6BB9">
        <w:rPr>
          <w:color w:val="000000" w:themeColor="text1"/>
        </w:rPr>
        <w:t xml:space="preserve">, </w:t>
      </w:r>
      <w:r w:rsidRPr="001A6BB9">
        <w:rPr>
          <w:i/>
          <w:iCs/>
          <w:color w:val="000000" w:themeColor="text1"/>
        </w:rPr>
        <w:t>66</w:t>
      </w:r>
      <w:r w:rsidRPr="001A6BB9">
        <w:rPr>
          <w:color w:val="000000" w:themeColor="text1"/>
        </w:rPr>
        <w:t>(1), 17-36. DOI 10.3917/cdge.066.0017</w:t>
      </w:r>
    </w:p>
    <w:p w14:paraId="1BFB10EB" w14:textId="77777777" w:rsidR="006F7996" w:rsidRPr="001A6BB9" w:rsidRDefault="006F7996" w:rsidP="006F7996">
      <w:pPr>
        <w:spacing w:line="360" w:lineRule="auto"/>
        <w:jc w:val="both"/>
        <w:rPr>
          <w:color w:val="000000" w:themeColor="text1"/>
        </w:rPr>
      </w:pPr>
    </w:p>
    <w:p w14:paraId="09C4CE42" w14:textId="77777777" w:rsidR="006F7996" w:rsidRPr="001A6BB9" w:rsidRDefault="006F7996" w:rsidP="006F7996">
      <w:pPr>
        <w:spacing w:line="360" w:lineRule="auto"/>
        <w:jc w:val="both"/>
        <w:rPr>
          <w:color w:val="000000" w:themeColor="text1"/>
        </w:rPr>
      </w:pPr>
      <w:r w:rsidRPr="001A6BB9">
        <w:rPr>
          <w:color w:val="000000" w:themeColor="text1"/>
        </w:rPr>
        <w:t xml:space="preserve">12- </w:t>
      </w:r>
      <w:proofErr w:type="spellStart"/>
      <w:r w:rsidRPr="001A6BB9">
        <w:rPr>
          <w:color w:val="000000" w:themeColor="text1"/>
        </w:rPr>
        <w:t>Krol</w:t>
      </w:r>
      <w:proofErr w:type="spellEnd"/>
      <w:r w:rsidRPr="001A6BB9">
        <w:rPr>
          <w:color w:val="000000" w:themeColor="text1"/>
        </w:rPr>
        <w:t xml:space="preserve">, A. (2022, 17 mai). Des élèves dénoncent une vérification « inappropriée » du code </w:t>
      </w:r>
    </w:p>
    <w:p w14:paraId="5E296702" w14:textId="77777777" w:rsidR="006F7996" w:rsidRPr="001A6BB9" w:rsidRDefault="006F7996" w:rsidP="006F7996">
      <w:pPr>
        <w:spacing w:line="360" w:lineRule="auto"/>
        <w:ind w:left="708"/>
        <w:jc w:val="both"/>
        <w:rPr>
          <w:i/>
          <w:iCs/>
          <w:color w:val="000000" w:themeColor="text1"/>
        </w:rPr>
      </w:pPr>
      <w:proofErr w:type="gramStart"/>
      <w:r w:rsidRPr="001A6BB9">
        <w:rPr>
          <w:color w:val="000000" w:themeColor="text1"/>
        </w:rPr>
        <w:t>vestimentaire</w:t>
      </w:r>
      <w:proofErr w:type="gramEnd"/>
      <w:r w:rsidRPr="001A6BB9">
        <w:rPr>
          <w:color w:val="000000" w:themeColor="text1"/>
        </w:rPr>
        <w:t xml:space="preserve">. </w:t>
      </w:r>
      <w:r w:rsidRPr="001A6BB9">
        <w:rPr>
          <w:i/>
          <w:iCs/>
          <w:color w:val="000000" w:themeColor="text1"/>
        </w:rPr>
        <w:t>La Presse.</w:t>
      </w:r>
      <w:r w:rsidRPr="001A6BB9">
        <w:rPr>
          <w:color w:val="000000" w:themeColor="text1"/>
        </w:rPr>
        <w:t xml:space="preserve"> </w:t>
      </w:r>
      <w:hyperlink r:id="rId11" w:history="1">
        <w:r w:rsidRPr="001A6BB9">
          <w:rPr>
            <w:rStyle w:val="Hyperlien"/>
            <w:color w:val="000000" w:themeColor="text1"/>
            <w:u w:val="none"/>
          </w:rPr>
          <w:t>https://www.lapresse.ca/actualites/education/2022-05-17/ecole-</w:t>
        </w:r>
      </w:hyperlink>
      <w:r w:rsidRPr="001A6BB9">
        <w:rPr>
          <w:color w:val="000000" w:themeColor="text1"/>
        </w:rPr>
        <w:t xml:space="preserve">pere-marquette/des-eleves-denoncent-une-verification-inappropriee-du-code-vestimentaire.php </w:t>
      </w:r>
    </w:p>
    <w:p w14:paraId="756197EE" w14:textId="77777777" w:rsidR="006F7996" w:rsidRPr="001A6BB9" w:rsidRDefault="006F7996" w:rsidP="006F7996">
      <w:pPr>
        <w:spacing w:line="360" w:lineRule="auto"/>
        <w:jc w:val="both"/>
        <w:rPr>
          <w:color w:val="000000" w:themeColor="text1"/>
        </w:rPr>
      </w:pPr>
    </w:p>
    <w:p w14:paraId="3C0E8E5B" w14:textId="77777777" w:rsidR="006F7996" w:rsidRPr="001A6BB9" w:rsidRDefault="006F7996" w:rsidP="006F7996">
      <w:pPr>
        <w:spacing w:line="360" w:lineRule="auto"/>
        <w:jc w:val="both"/>
        <w:rPr>
          <w:i/>
          <w:iCs/>
          <w:color w:val="000000" w:themeColor="text1"/>
        </w:rPr>
      </w:pPr>
      <w:r w:rsidRPr="001A6BB9">
        <w:rPr>
          <w:color w:val="000000" w:themeColor="text1"/>
        </w:rPr>
        <w:t xml:space="preserve">13- </w:t>
      </w:r>
      <w:proofErr w:type="spellStart"/>
      <w:r w:rsidRPr="001A6BB9">
        <w:rPr>
          <w:color w:val="000000" w:themeColor="text1"/>
        </w:rPr>
        <w:t>Krol</w:t>
      </w:r>
      <w:proofErr w:type="spellEnd"/>
      <w:r w:rsidRPr="001A6BB9">
        <w:rPr>
          <w:color w:val="000000" w:themeColor="text1"/>
        </w:rPr>
        <w:t xml:space="preserve">, A. (2022, 20 mai). L’école Robert-Gravel adopte un code vestimentaire non genré. </w:t>
      </w:r>
      <w:r w:rsidRPr="001A6BB9">
        <w:rPr>
          <w:i/>
          <w:iCs/>
          <w:color w:val="000000" w:themeColor="text1"/>
        </w:rPr>
        <w:t xml:space="preserve">La       </w:t>
      </w:r>
    </w:p>
    <w:p w14:paraId="15780D81" w14:textId="77777777" w:rsidR="006F7996" w:rsidRPr="001A6BB9" w:rsidRDefault="006F7996" w:rsidP="006F7996">
      <w:pPr>
        <w:spacing w:line="360" w:lineRule="auto"/>
        <w:ind w:left="708"/>
        <w:jc w:val="both"/>
        <w:rPr>
          <w:color w:val="000000" w:themeColor="text1"/>
        </w:rPr>
      </w:pPr>
      <w:r w:rsidRPr="001A6BB9">
        <w:rPr>
          <w:i/>
          <w:iCs/>
          <w:color w:val="000000" w:themeColor="text1"/>
        </w:rPr>
        <w:t>Presse.</w:t>
      </w:r>
      <w:r w:rsidRPr="001A6BB9">
        <w:rPr>
          <w:color w:val="000000" w:themeColor="text1"/>
        </w:rPr>
        <w:t xml:space="preserve"> </w:t>
      </w:r>
      <w:hyperlink r:id="rId12" w:history="1">
        <w:r w:rsidRPr="001A6BB9">
          <w:rPr>
            <w:rStyle w:val="Hyperlien"/>
            <w:color w:val="000000" w:themeColor="text1"/>
            <w:u w:val="none"/>
          </w:rPr>
          <w:t>https://www.lapresse.ca/actualites/education/2022-05-20/l-ecole-robert-gravel-adopte-un-code-vestimentaire-non-genre.php</w:t>
        </w:r>
      </w:hyperlink>
      <w:r w:rsidRPr="001A6BB9">
        <w:rPr>
          <w:color w:val="000000" w:themeColor="text1"/>
        </w:rPr>
        <w:t xml:space="preserve"> </w:t>
      </w:r>
    </w:p>
    <w:p w14:paraId="39AADC8A" w14:textId="77777777" w:rsidR="006F7996" w:rsidRPr="001A6BB9" w:rsidRDefault="006F7996" w:rsidP="006F7996">
      <w:pPr>
        <w:spacing w:line="360" w:lineRule="auto"/>
        <w:jc w:val="both"/>
        <w:rPr>
          <w:color w:val="000000" w:themeColor="text1"/>
        </w:rPr>
      </w:pPr>
    </w:p>
    <w:p w14:paraId="6ADB6954" w14:textId="77777777" w:rsidR="006F7996" w:rsidRPr="001A6BB9" w:rsidRDefault="006F7996" w:rsidP="006F7996">
      <w:pPr>
        <w:spacing w:line="360" w:lineRule="auto"/>
        <w:jc w:val="both"/>
        <w:rPr>
          <w:color w:val="000000" w:themeColor="text1"/>
        </w:rPr>
      </w:pPr>
      <w:r w:rsidRPr="001A6BB9">
        <w:rPr>
          <w:color w:val="000000" w:themeColor="text1"/>
        </w:rPr>
        <w:t xml:space="preserve">14- Lachapelle, M et Gagné, D. (2025, 21 août). </w:t>
      </w:r>
      <w:r w:rsidRPr="001A6BB9">
        <w:rPr>
          <w:i/>
          <w:iCs/>
          <w:color w:val="000000" w:themeColor="text1"/>
        </w:rPr>
        <w:t>Cadre légal en matière d’agression sexuelle</w:t>
      </w:r>
      <w:r w:rsidRPr="001A6BB9">
        <w:rPr>
          <w:color w:val="000000" w:themeColor="text1"/>
        </w:rPr>
        <w:t xml:space="preserve">. </w:t>
      </w:r>
    </w:p>
    <w:p w14:paraId="7E64BB7D" w14:textId="77777777" w:rsidR="006F7996" w:rsidRPr="001A6BB9" w:rsidRDefault="006F7996" w:rsidP="006F7996">
      <w:pPr>
        <w:spacing w:line="360" w:lineRule="auto"/>
        <w:ind w:left="708"/>
        <w:jc w:val="both"/>
        <w:rPr>
          <w:color w:val="000000" w:themeColor="text1"/>
        </w:rPr>
      </w:pPr>
      <w:r w:rsidRPr="001A6BB9">
        <w:rPr>
          <w:color w:val="000000" w:themeColor="text1"/>
        </w:rPr>
        <w:t xml:space="preserve">Institut national de santé publique du Québec. </w:t>
      </w:r>
      <w:hyperlink r:id="rId13" w:history="1">
        <w:r w:rsidRPr="001A6BB9">
          <w:rPr>
            <w:rStyle w:val="Hyperlien"/>
            <w:color w:val="000000" w:themeColor="text1"/>
          </w:rPr>
          <w:t>https://www.inspq.qc.ca/violence-sexuelle/legislation/cadre-legal</w:t>
        </w:r>
      </w:hyperlink>
    </w:p>
    <w:p w14:paraId="7979B3E7" w14:textId="77777777" w:rsidR="006F7996" w:rsidRPr="001A6BB9" w:rsidRDefault="006F7996" w:rsidP="006F7996">
      <w:pPr>
        <w:spacing w:line="360" w:lineRule="auto"/>
        <w:ind w:left="708"/>
        <w:jc w:val="both"/>
        <w:rPr>
          <w:color w:val="000000" w:themeColor="text1"/>
        </w:rPr>
      </w:pPr>
    </w:p>
    <w:p w14:paraId="4CF78ABF" w14:textId="77777777" w:rsidR="006F7996" w:rsidRPr="001A6BB9" w:rsidRDefault="006F7996" w:rsidP="006F7996">
      <w:pPr>
        <w:spacing w:line="360" w:lineRule="auto"/>
        <w:jc w:val="both"/>
        <w:rPr>
          <w:i/>
          <w:iCs/>
          <w:color w:val="000000" w:themeColor="text1"/>
        </w:rPr>
      </w:pPr>
      <w:r w:rsidRPr="001A6BB9">
        <w:rPr>
          <w:color w:val="000000" w:themeColor="text1"/>
        </w:rPr>
        <w:t>15- Lachapelle, M., Gagné, D., Moreau, C. et Hénault-</w:t>
      </w:r>
      <w:proofErr w:type="spellStart"/>
      <w:r w:rsidRPr="001A6BB9">
        <w:rPr>
          <w:color w:val="000000" w:themeColor="text1"/>
        </w:rPr>
        <w:t>Arbour</w:t>
      </w:r>
      <w:proofErr w:type="spellEnd"/>
      <w:r w:rsidRPr="001A6BB9">
        <w:rPr>
          <w:color w:val="000000" w:themeColor="text1"/>
        </w:rPr>
        <w:t xml:space="preserve">, B. (2024, 24 septembre). </w:t>
      </w:r>
      <w:r w:rsidRPr="001A6BB9">
        <w:rPr>
          <w:i/>
          <w:iCs/>
          <w:color w:val="000000" w:themeColor="text1"/>
        </w:rPr>
        <w:t xml:space="preserve">Les </w:t>
      </w:r>
    </w:p>
    <w:p w14:paraId="4F929588" w14:textId="77777777" w:rsidR="006F7996" w:rsidRPr="001A6BB9" w:rsidRDefault="006F7996" w:rsidP="006F7996">
      <w:pPr>
        <w:spacing w:line="360" w:lineRule="auto"/>
        <w:ind w:left="708"/>
        <w:jc w:val="both"/>
        <w:rPr>
          <w:color w:val="000000" w:themeColor="text1"/>
        </w:rPr>
      </w:pPr>
      <w:proofErr w:type="gramStart"/>
      <w:r w:rsidRPr="001A6BB9">
        <w:rPr>
          <w:i/>
          <w:iCs/>
          <w:color w:val="000000" w:themeColor="text1"/>
        </w:rPr>
        <w:t>infractions</w:t>
      </w:r>
      <w:proofErr w:type="gramEnd"/>
      <w:r w:rsidRPr="001A6BB9">
        <w:rPr>
          <w:i/>
          <w:iCs/>
          <w:color w:val="000000" w:themeColor="text1"/>
        </w:rPr>
        <w:t xml:space="preserve"> sexuelles prévues au Code criminel. </w:t>
      </w:r>
      <w:r w:rsidRPr="001A6BB9">
        <w:rPr>
          <w:color w:val="000000" w:themeColor="text1"/>
        </w:rPr>
        <w:t>Institut national de santé publique du Québec. https://www.inspq.qc.ca/violence-sexuelle/legislation/code-criminel</w:t>
      </w:r>
    </w:p>
    <w:p w14:paraId="457F5B92" w14:textId="77777777" w:rsidR="006F7996" w:rsidRPr="001A6BB9" w:rsidRDefault="006F7996" w:rsidP="006F7996">
      <w:pPr>
        <w:spacing w:line="360" w:lineRule="auto"/>
        <w:jc w:val="both"/>
        <w:rPr>
          <w:i/>
          <w:iCs/>
          <w:color w:val="000000" w:themeColor="text1"/>
        </w:rPr>
      </w:pPr>
    </w:p>
    <w:p w14:paraId="41E8CFB9" w14:textId="77777777" w:rsidR="006F7996" w:rsidRPr="001A6BB9" w:rsidRDefault="006F7996" w:rsidP="006F7996">
      <w:pPr>
        <w:spacing w:line="360" w:lineRule="auto"/>
        <w:jc w:val="both"/>
        <w:rPr>
          <w:color w:val="000000" w:themeColor="text1"/>
        </w:rPr>
      </w:pPr>
      <w:r w:rsidRPr="001A6BB9">
        <w:rPr>
          <w:color w:val="000000" w:themeColor="text1"/>
        </w:rPr>
        <w:lastRenderedPageBreak/>
        <w:t>16- Lang, M.-È. (2011). L</w:t>
      </w:r>
      <w:proofErr w:type="gramStart"/>
      <w:r w:rsidRPr="001A6BB9">
        <w:rPr>
          <w:color w:val="000000" w:themeColor="text1"/>
        </w:rPr>
        <w:t>’«</w:t>
      </w:r>
      <w:proofErr w:type="gramEnd"/>
      <w:r w:rsidRPr="001A6BB9">
        <w:rPr>
          <w:color w:val="000000" w:themeColor="text1"/>
        </w:rPr>
        <w:t xml:space="preserve"> agentivité sexuelle » des adolescentes et des jeunes femmes : une </w:t>
      </w:r>
    </w:p>
    <w:p w14:paraId="1B75C453" w14:textId="77777777" w:rsidR="006F7996" w:rsidRPr="001A6BB9" w:rsidRDefault="006F7996" w:rsidP="006F7996">
      <w:pPr>
        <w:spacing w:line="360" w:lineRule="auto"/>
        <w:ind w:firstLine="708"/>
        <w:jc w:val="both"/>
        <w:rPr>
          <w:color w:val="000000" w:themeColor="text1"/>
        </w:rPr>
      </w:pPr>
      <w:proofErr w:type="gramStart"/>
      <w:r w:rsidRPr="001A6BB9">
        <w:rPr>
          <w:color w:val="000000" w:themeColor="text1"/>
        </w:rPr>
        <w:t>définition</w:t>
      </w:r>
      <w:proofErr w:type="gramEnd"/>
      <w:r w:rsidRPr="001A6BB9">
        <w:rPr>
          <w:color w:val="000000" w:themeColor="text1"/>
        </w:rPr>
        <w:t xml:space="preserve">. </w:t>
      </w:r>
      <w:r w:rsidRPr="001A6BB9">
        <w:rPr>
          <w:i/>
          <w:iCs/>
          <w:color w:val="000000" w:themeColor="text1"/>
        </w:rPr>
        <w:t>Recherches féministes</w:t>
      </w:r>
      <w:r w:rsidRPr="001A6BB9">
        <w:rPr>
          <w:color w:val="000000" w:themeColor="text1"/>
        </w:rPr>
        <w:t>,</w:t>
      </w:r>
      <w:r w:rsidRPr="001A6BB9">
        <w:rPr>
          <w:i/>
          <w:iCs/>
          <w:color w:val="000000" w:themeColor="text1"/>
        </w:rPr>
        <w:t xml:space="preserve"> 24</w:t>
      </w:r>
      <w:r w:rsidRPr="001A6BB9">
        <w:rPr>
          <w:color w:val="000000" w:themeColor="text1"/>
        </w:rPr>
        <w:t xml:space="preserve">(2), 189–209. </w:t>
      </w:r>
      <w:hyperlink r:id="rId14" w:history="1">
        <w:r w:rsidRPr="001A6BB9">
          <w:rPr>
            <w:rStyle w:val="Hyperlien"/>
            <w:color w:val="000000" w:themeColor="text1"/>
          </w:rPr>
          <w:t>https://doi.org/10.7202/1007759ar</w:t>
        </w:r>
      </w:hyperlink>
    </w:p>
    <w:p w14:paraId="0FF96F02" w14:textId="77777777" w:rsidR="006F7996" w:rsidRPr="001A6BB9" w:rsidRDefault="006F7996" w:rsidP="006F7996">
      <w:pPr>
        <w:spacing w:line="360" w:lineRule="auto"/>
        <w:jc w:val="both"/>
        <w:rPr>
          <w:color w:val="000000" w:themeColor="text1"/>
        </w:rPr>
      </w:pPr>
    </w:p>
    <w:p w14:paraId="7E309793" w14:textId="77777777" w:rsidR="00281549" w:rsidRDefault="006F7996" w:rsidP="00281549">
      <w:pPr>
        <w:spacing w:line="360" w:lineRule="auto"/>
        <w:jc w:val="both"/>
        <w:rPr>
          <w:color w:val="000000" w:themeColor="text1"/>
        </w:rPr>
      </w:pPr>
      <w:r w:rsidRPr="001A6BB9">
        <w:rPr>
          <w:color w:val="000000" w:themeColor="text1"/>
          <w:lang w:val="en-CA"/>
        </w:rPr>
        <w:t xml:space="preserve">17- Mehta, D. (2019). Affaire Jian Ghomeshi. </w:t>
      </w:r>
      <w:r w:rsidRPr="001A6BB9">
        <w:rPr>
          <w:rStyle w:val="Accentuation"/>
          <w:rFonts w:eastAsiaTheme="majorEastAsia"/>
          <w:color w:val="000000" w:themeColor="text1"/>
        </w:rPr>
        <w:t>Encyclopédie Canadienne</w:t>
      </w:r>
      <w:r w:rsidRPr="001A6BB9">
        <w:rPr>
          <w:color w:val="000000" w:themeColor="text1"/>
        </w:rPr>
        <w:t xml:space="preserve">. </w:t>
      </w:r>
    </w:p>
    <w:p w14:paraId="623C452B" w14:textId="5F9BFC72" w:rsidR="006F7996" w:rsidRPr="00281549" w:rsidRDefault="006F7996" w:rsidP="00281549">
      <w:pPr>
        <w:spacing w:line="360" w:lineRule="auto"/>
        <w:ind w:firstLine="708"/>
        <w:jc w:val="both"/>
        <w:rPr>
          <w:color w:val="000000" w:themeColor="text1"/>
        </w:rPr>
      </w:pPr>
      <w:r w:rsidRPr="001A6BB9">
        <w:rPr>
          <w:color w:val="000000" w:themeColor="text1"/>
        </w:rPr>
        <w:t>https://thecanadianencyclopedia.ca/fr/article/affaire-jian-ghomeshi</w:t>
      </w:r>
    </w:p>
    <w:p w14:paraId="3D367915" w14:textId="77777777" w:rsidR="006F7996" w:rsidRPr="001A6BB9" w:rsidRDefault="006F7996" w:rsidP="006F7996">
      <w:pPr>
        <w:spacing w:line="360" w:lineRule="auto"/>
        <w:jc w:val="both"/>
        <w:rPr>
          <w:color w:val="000000" w:themeColor="text1"/>
        </w:rPr>
      </w:pPr>
    </w:p>
    <w:p w14:paraId="6DCFFB22" w14:textId="77777777" w:rsidR="006F7996" w:rsidRPr="001A6BB9" w:rsidRDefault="006F7996" w:rsidP="006F7996">
      <w:pPr>
        <w:spacing w:line="360" w:lineRule="auto"/>
        <w:jc w:val="both"/>
        <w:rPr>
          <w:color w:val="000000" w:themeColor="text1"/>
        </w:rPr>
      </w:pPr>
      <w:r w:rsidRPr="001A6BB9">
        <w:rPr>
          <w:color w:val="000000" w:themeColor="text1"/>
        </w:rPr>
        <w:t xml:space="preserve">18- Mercier, E. (2020). La révolte des « carrés jaunes » : représentations et résistances des filles </w:t>
      </w:r>
    </w:p>
    <w:p w14:paraId="5EE245C1" w14:textId="77777777" w:rsidR="006F7996" w:rsidRPr="001A6BB9" w:rsidRDefault="006F7996" w:rsidP="006F7996">
      <w:pPr>
        <w:spacing w:line="360" w:lineRule="auto"/>
        <w:ind w:left="708"/>
        <w:jc w:val="both"/>
        <w:rPr>
          <w:color w:val="000000" w:themeColor="text1"/>
        </w:rPr>
      </w:pPr>
      <w:proofErr w:type="gramStart"/>
      <w:r w:rsidRPr="001A6BB9">
        <w:rPr>
          <w:color w:val="000000" w:themeColor="text1"/>
        </w:rPr>
        <w:t>dans</w:t>
      </w:r>
      <w:proofErr w:type="gramEnd"/>
      <w:r w:rsidRPr="001A6BB9">
        <w:rPr>
          <w:color w:val="000000" w:themeColor="text1"/>
        </w:rPr>
        <w:t xml:space="preserve"> les médias au Québec. </w:t>
      </w:r>
      <w:r w:rsidRPr="001A6BB9">
        <w:rPr>
          <w:i/>
          <w:iCs/>
          <w:color w:val="000000" w:themeColor="text1"/>
        </w:rPr>
        <w:t>Recherches féministes,</w:t>
      </w:r>
      <w:r w:rsidRPr="001A6BB9">
        <w:rPr>
          <w:color w:val="000000" w:themeColor="text1"/>
        </w:rPr>
        <w:t xml:space="preserve"> </w:t>
      </w:r>
      <w:r w:rsidRPr="001A6BB9">
        <w:rPr>
          <w:i/>
          <w:iCs/>
          <w:color w:val="000000" w:themeColor="text1"/>
        </w:rPr>
        <w:t>33</w:t>
      </w:r>
      <w:r w:rsidRPr="001A6BB9">
        <w:rPr>
          <w:color w:val="000000" w:themeColor="text1"/>
        </w:rPr>
        <w:t>(1),75–91. https://doi.org/10.7202/1071243ar</w:t>
      </w:r>
    </w:p>
    <w:p w14:paraId="299AE770" w14:textId="77777777" w:rsidR="006F7996" w:rsidRPr="001A6BB9" w:rsidRDefault="006F7996" w:rsidP="006F7996">
      <w:pPr>
        <w:spacing w:line="360" w:lineRule="auto"/>
        <w:jc w:val="both"/>
        <w:rPr>
          <w:color w:val="000000" w:themeColor="text1"/>
        </w:rPr>
      </w:pPr>
    </w:p>
    <w:p w14:paraId="36AD83DD" w14:textId="77777777" w:rsidR="006F7996" w:rsidRPr="001A6BB9" w:rsidRDefault="006F7996" w:rsidP="006F7996">
      <w:pPr>
        <w:pStyle w:val="p1"/>
        <w:spacing w:line="360" w:lineRule="auto"/>
        <w:jc w:val="both"/>
        <w:rPr>
          <w:rFonts w:ascii="Times New Roman" w:hAnsi="Times New Roman" w:cs="Times New Roman"/>
          <w:i/>
          <w:iCs/>
          <w:color w:val="000000" w:themeColor="text1"/>
          <w:sz w:val="24"/>
          <w:szCs w:val="24"/>
        </w:rPr>
      </w:pPr>
      <w:r w:rsidRPr="001A6BB9">
        <w:rPr>
          <w:rFonts w:ascii="Times New Roman" w:hAnsi="Times New Roman" w:cs="Times New Roman"/>
          <w:color w:val="000000" w:themeColor="text1"/>
          <w:sz w:val="24"/>
          <w:szCs w:val="24"/>
        </w:rPr>
        <w:t>19- M</w:t>
      </w:r>
      <w:r w:rsidRPr="001A6BB9">
        <w:rPr>
          <w:rStyle w:val="s1"/>
          <w:rFonts w:ascii="Times New Roman" w:eastAsiaTheme="majorEastAsia" w:hAnsi="Times New Roman" w:cs="Times New Roman"/>
          <w:color w:val="000000" w:themeColor="text1"/>
          <w:sz w:val="24"/>
          <w:szCs w:val="24"/>
        </w:rPr>
        <w:t xml:space="preserve">inistère de la Sécurité publique. </w:t>
      </w:r>
      <w:r w:rsidRPr="001A6BB9">
        <w:rPr>
          <w:rFonts w:ascii="Times New Roman" w:hAnsi="Times New Roman" w:cs="Times New Roman"/>
          <w:color w:val="000000" w:themeColor="text1"/>
          <w:sz w:val="24"/>
          <w:szCs w:val="24"/>
        </w:rPr>
        <w:t xml:space="preserve">(2024, juillet). </w:t>
      </w:r>
      <w:r w:rsidRPr="001A6BB9">
        <w:rPr>
          <w:rFonts w:ascii="Times New Roman" w:hAnsi="Times New Roman" w:cs="Times New Roman"/>
          <w:i/>
          <w:iCs/>
          <w:color w:val="000000" w:themeColor="text1"/>
          <w:sz w:val="24"/>
          <w:szCs w:val="24"/>
        </w:rPr>
        <w:t xml:space="preserve">Criminalité au Québec – Infractions sexuelles </w:t>
      </w:r>
    </w:p>
    <w:p w14:paraId="39A87666" w14:textId="77777777" w:rsidR="006F7996" w:rsidRPr="001A6BB9" w:rsidRDefault="006F7996" w:rsidP="006F7996">
      <w:pPr>
        <w:pStyle w:val="p1"/>
        <w:spacing w:line="360" w:lineRule="auto"/>
        <w:ind w:left="708"/>
        <w:jc w:val="both"/>
        <w:rPr>
          <w:rFonts w:ascii="Times New Roman" w:hAnsi="Times New Roman" w:cs="Times New Roman"/>
          <w:i/>
          <w:iCs/>
          <w:color w:val="000000" w:themeColor="text1"/>
          <w:sz w:val="24"/>
          <w:szCs w:val="24"/>
        </w:rPr>
      </w:pPr>
      <w:proofErr w:type="gramStart"/>
      <w:r w:rsidRPr="001A6BB9">
        <w:rPr>
          <w:rFonts w:ascii="Times New Roman" w:hAnsi="Times New Roman" w:cs="Times New Roman"/>
          <w:i/>
          <w:iCs/>
          <w:color w:val="000000" w:themeColor="text1"/>
          <w:sz w:val="24"/>
          <w:szCs w:val="24"/>
        </w:rPr>
        <w:t>en</w:t>
      </w:r>
      <w:proofErr w:type="gramEnd"/>
      <w:r w:rsidRPr="001A6BB9">
        <w:rPr>
          <w:rFonts w:ascii="Times New Roman" w:hAnsi="Times New Roman" w:cs="Times New Roman"/>
          <w:i/>
          <w:iCs/>
          <w:color w:val="000000" w:themeColor="text1"/>
          <w:sz w:val="24"/>
          <w:szCs w:val="24"/>
        </w:rPr>
        <w:t xml:space="preserve"> 2022</w:t>
      </w:r>
      <w:r w:rsidRPr="001A6BB9">
        <w:rPr>
          <w:rFonts w:ascii="Times New Roman" w:hAnsi="Times New Roman" w:cs="Times New Roman"/>
          <w:color w:val="000000" w:themeColor="text1"/>
          <w:sz w:val="24"/>
          <w:szCs w:val="24"/>
        </w:rPr>
        <w:t xml:space="preserve"> (Publication : ISBN 978-2-550-97997-5 (PDF)</w:t>
      </w:r>
      <w:r w:rsidRPr="001A6BB9">
        <w:rPr>
          <w:rFonts w:ascii="Times New Roman" w:hAnsi="Times New Roman" w:cs="Times New Roman"/>
          <w:i/>
          <w:iCs/>
          <w:color w:val="000000" w:themeColor="text1"/>
          <w:sz w:val="24"/>
          <w:szCs w:val="24"/>
        </w:rPr>
        <w:t>.</w:t>
      </w:r>
      <w:r w:rsidRPr="001A6BB9">
        <w:rPr>
          <w:rFonts w:ascii="Times New Roman" w:hAnsi="Times New Roman" w:cs="Times New Roman"/>
          <w:color w:val="000000" w:themeColor="text1"/>
          <w:sz w:val="24"/>
          <w:szCs w:val="24"/>
        </w:rPr>
        <w:t xml:space="preserve"> Gouvernement du Québec. https://cdn-contenu.quebec.ca/cdn-contenu/adm/min/securite-publique/publications-adm/publications-secteurs/police/statistiques-criminalite/infractions-sexuelles/stats_infr_sexuelles_2022.pdf</w:t>
      </w:r>
    </w:p>
    <w:p w14:paraId="0ED2FAFA" w14:textId="77777777" w:rsidR="006F7996" w:rsidRPr="001A6BB9" w:rsidRDefault="006F7996" w:rsidP="006F7996">
      <w:pPr>
        <w:pStyle w:val="p1"/>
        <w:spacing w:line="360" w:lineRule="auto"/>
        <w:jc w:val="both"/>
        <w:rPr>
          <w:rFonts w:ascii="Times New Roman" w:hAnsi="Times New Roman" w:cs="Times New Roman"/>
          <w:color w:val="000000" w:themeColor="text1"/>
          <w:sz w:val="24"/>
          <w:szCs w:val="24"/>
        </w:rPr>
      </w:pPr>
    </w:p>
    <w:p w14:paraId="4EF30D14" w14:textId="77777777" w:rsidR="006F7996" w:rsidRPr="001A6BB9" w:rsidRDefault="006F7996" w:rsidP="006F7996">
      <w:pPr>
        <w:pStyle w:val="p1"/>
        <w:spacing w:line="360" w:lineRule="auto"/>
        <w:jc w:val="both"/>
        <w:rPr>
          <w:rFonts w:ascii="Times New Roman" w:hAnsi="Times New Roman" w:cs="Times New Roman"/>
          <w:i/>
          <w:iCs/>
          <w:color w:val="000000" w:themeColor="text1"/>
          <w:sz w:val="24"/>
          <w:szCs w:val="24"/>
        </w:rPr>
      </w:pPr>
      <w:r w:rsidRPr="001A6BB9">
        <w:rPr>
          <w:rFonts w:ascii="Times New Roman" w:hAnsi="Times New Roman" w:cs="Times New Roman"/>
          <w:color w:val="000000" w:themeColor="text1"/>
          <w:sz w:val="24"/>
          <w:szCs w:val="24"/>
        </w:rPr>
        <w:t xml:space="preserve">20- Moisant-Paquet, R. (2022). </w:t>
      </w:r>
      <w:r w:rsidRPr="001A6BB9">
        <w:rPr>
          <w:rFonts w:ascii="Times New Roman" w:hAnsi="Times New Roman" w:cs="Times New Roman"/>
          <w:i/>
          <w:iCs/>
          <w:color w:val="000000" w:themeColor="text1"/>
          <w:sz w:val="24"/>
          <w:szCs w:val="24"/>
        </w:rPr>
        <w:t xml:space="preserve">Expériences et perceptions des filles à l'égard des codes </w:t>
      </w:r>
    </w:p>
    <w:p w14:paraId="5D49A450" w14:textId="77777777" w:rsidR="006F7996" w:rsidRPr="001A6BB9" w:rsidRDefault="006F7996" w:rsidP="006F7996">
      <w:pPr>
        <w:pStyle w:val="p1"/>
        <w:spacing w:line="360" w:lineRule="auto"/>
        <w:ind w:left="708"/>
        <w:jc w:val="both"/>
        <w:rPr>
          <w:rFonts w:ascii="Times New Roman" w:hAnsi="Times New Roman" w:cs="Times New Roman"/>
          <w:i/>
          <w:iCs/>
          <w:color w:val="000000" w:themeColor="text1"/>
          <w:sz w:val="24"/>
          <w:szCs w:val="24"/>
        </w:rPr>
      </w:pPr>
      <w:proofErr w:type="gramStart"/>
      <w:r w:rsidRPr="001A6BB9">
        <w:rPr>
          <w:rFonts w:ascii="Times New Roman" w:hAnsi="Times New Roman" w:cs="Times New Roman"/>
          <w:i/>
          <w:iCs/>
          <w:color w:val="000000" w:themeColor="text1"/>
          <w:sz w:val="24"/>
          <w:szCs w:val="24"/>
        </w:rPr>
        <w:t>vestimentaires</w:t>
      </w:r>
      <w:proofErr w:type="gramEnd"/>
      <w:r w:rsidRPr="001A6BB9">
        <w:rPr>
          <w:rFonts w:ascii="Times New Roman" w:hAnsi="Times New Roman" w:cs="Times New Roman"/>
          <w:i/>
          <w:iCs/>
          <w:color w:val="000000" w:themeColor="text1"/>
          <w:sz w:val="24"/>
          <w:szCs w:val="24"/>
        </w:rPr>
        <w:t xml:space="preserve"> des écoles secondaires publiques</w:t>
      </w:r>
      <w:r w:rsidRPr="001A6BB9">
        <w:rPr>
          <w:i/>
          <w:iCs/>
          <w:color w:val="000000" w:themeColor="text1"/>
        </w:rPr>
        <w:t xml:space="preserve"> </w:t>
      </w:r>
      <w:r w:rsidRPr="001A6BB9">
        <w:rPr>
          <w:rFonts w:ascii="Times New Roman" w:hAnsi="Times New Roman" w:cs="Times New Roman"/>
          <w:i/>
          <w:iCs/>
          <w:color w:val="000000" w:themeColor="text1"/>
          <w:sz w:val="24"/>
          <w:szCs w:val="24"/>
        </w:rPr>
        <w:t>québécoises</w:t>
      </w:r>
      <w:r w:rsidRPr="001A6BB9">
        <w:rPr>
          <w:rFonts w:ascii="Times New Roman" w:hAnsi="Times New Roman" w:cs="Times New Roman"/>
          <w:color w:val="000000" w:themeColor="text1"/>
          <w:sz w:val="24"/>
          <w:szCs w:val="24"/>
        </w:rPr>
        <w:t xml:space="preserve"> [mémoire de maîtrise, Université Laval]. Corpus. https://corpus.ulaval.ca/server/api/core/bitstreams/b6b3827b-74f4-4bfa-bcf7-a2f9b326bfc3/content</w:t>
      </w:r>
    </w:p>
    <w:p w14:paraId="6D31680D" w14:textId="77777777" w:rsidR="006F7996" w:rsidRPr="001A6BB9" w:rsidRDefault="006F7996" w:rsidP="006F7996">
      <w:pPr>
        <w:pStyle w:val="p1"/>
        <w:spacing w:line="360" w:lineRule="auto"/>
        <w:jc w:val="both"/>
        <w:rPr>
          <w:rFonts w:ascii="Times New Roman" w:hAnsi="Times New Roman" w:cs="Times New Roman"/>
          <w:color w:val="000000" w:themeColor="text1"/>
          <w:sz w:val="24"/>
          <w:szCs w:val="24"/>
        </w:rPr>
      </w:pPr>
    </w:p>
    <w:p w14:paraId="1B71B682" w14:textId="77777777" w:rsidR="006F7996" w:rsidRPr="001A6BB9" w:rsidRDefault="006F7996" w:rsidP="006F7996">
      <w:pPr>
        <w:spacing w:line="360" w:lineRule="auto"/>
        <w:jc w:val="both"/>
        <w:rPr>
          <w:color w:val="000000" w:themeColor="text1"/>
        </w:rPr>
      </w:pPr>
      <w:r w:rsidRPr="001A6BB9">
        <w:rPr>
          <w:color w:val="000000" w:themeColor="text1"/>
        </w:rPr>
        <w:t xml:space="preserve">21- Otis, G. et Brunelle, C. (1995). La Charte des droits et libertés de la personne et la tenue </w:t>
      </w:r>
    </w:p>
    <w:p w14:paraId="74734F66" w14:textId="77777777" w:rsidR="006F7996" w:rsidRPr="001A6BB9" w:rsidRDefault="006F7996" w:rsidP="006F7996">
      <w:pPr>
        <w:spacing w:line="360" w:lineRule="auto"/>
        <w:ind w:left="708"/>
        <w:jc w:val="both"/>
        <w:rPr>
          <w:color w:val="000000" w:themeColor="text1"/>
          <w:lang w:val="en-CA"/>
        </w:rPr>
      </w:pPr>
      <w:proofErr w:type="gramStart"/>
      <w:r w:rsidRPr="001A6BB9">
        <w:rPr>
          <w:color w:val="000000" w:themeColor="text1"/>
        </w:rPr>
        <w:t>vestimentaire</w:t>
      </w:r>
      <w:proofErr w:type="gramEnd"/>
      <w:r w:rsidRPr="001A6BB9">
        <w:rPr>
          <w:color w:val="000000" w:themeColor="text1"/>
        </w:rPr>
        <w:t xml:space="preserve"> à l'école publique. </w:t>
      </w:r>
      <w:r w:rsidRPr="001A6BB9">
        <w:rPr>
          <w:i/>
          <w:iCs/>
          <w:color w:val="000000" w:themeColor="text1"/>
        </w:rPr>
        <w:t>Les Cahiers de droit</w:t>
      </w:r>
      <w:r w:rsidRPr="001A6BB9">
        <w:rPr>
          <w:color w:val="000000" w:themeColor="text1"/>
        </w:rPr>
        <w:t xml:space="preserve">, </w:t>
      </w:r>
      <w:r w:rsidRPr="001A6BB9">
        <w:rPr>
          <w:i/>
          <w:iCs/>
          <w:color w:val="000000" w:themeColor="text1"/>
        </w:rPr>
        <w:t>36</w:t>
      </w:r>
      <w:r w:rsidRPr="001A6BB9">
        <w:rPr>
          <w:color w:val="000000" w:themeColor="text1"/>
        </w:rPr>
        <w:t xml:space="preserve">(3), 599–643. </w:t>
      </w:r>
      <w:hyperlink r:id="rId15" w:history="1">
        <w:r w:rsidRPr="001A6BB9">
          <w:rPr>
            <w:rStyle w:val="Hyperlien"/>
            <w:color w:val="000000" w:themeColor="text1"/>
            <w:u w:val="none"/>
            <w:lang w:val="en-CA"/>
          </w:rPr>
          <w:t>https://doi.org/10.7202/043347ar</w:t>
        </w:r>
      </w:hyperlink>
    </w:p>
    <w:p w14:paraId="06B9E269" w14:textId="77777777" w:rsidR="006F7996" w:rsidRPr="001A6BB9" w:rsidRDefault="006F7996" w:rsidP="006F7996">
      <w:pPr>
        <w:spacing w:line="360" w:lineRule="auto"/>
        <w:jc w:val="both"/>
        <w:rPr>
          <w:color w:val="000000" w:themeColor="text1"/>
          <w:lang w:val="en-CA"/>
        </w:rPr>
      </w:pPr>
    </w:p>
    <w:p w14:paraId="242F8E45" w14:textId="77777777" w:rsidR="006F7996" w:rsidRPr="001A6BB9" w:rsidRDefault="006F7996" w:rsidP="006F7996">
      <w:pPr>
        <w:spacing w:line="360" w:lineRule="auto"/>
        <w:jc w:val="both"/>
        <w:rPr>
          <w:i/>
          <w:iCs/>
          <w:color w:val="000000" w:themeColor="text1"/>
        </w:rPr>
      </w:pPr>
      <w:r w:rsidRPr="001A6BB9">
        <w:rPr>
          <w:color w:val="000000" w:themeColor="text1"/>
          <w:lang w:val="en-CA"/>
        </w:rPr>
        <w:t>22- ONU Femmes</w:t>
      </w:r>
      <w:r>
        <w:rPr>
          <w:color w:val="000000" w:themeColor="text1"/>
          <w:lang w:val="en-CA"/>
        </w:rPr>
        <w:t>.</w:t>
      </w:r>
      <w:r w:rsidRPr="001A6BB9">
        <w:rPr>
          <w:color w:val="000000" w:themeColor="text1"/>
          <w:lang w:val="en-CA"/>
        </w:rPr>
        <w:t xml:space="preserve"> (2019, 18 </w:t>
      </w:r>
      <w:proofErr w:type="spellStart"/>
      <w:r w:rsidRPr="001A6BB9">
        <w:rPr>
          <w:color w:val="000000" w:themeColor="text1"/>
          <w:lang w:val="en-CA"/>
        </w:rPr>
        <w:t>novembre</w:t>
      </w:r>
      <w:proofErr w:type="spellEnd"/>
      <w:r w:rsidRPr="001A6BB9">
        <w:rPr>
          <w:color w:val="000000" w:themeColor="text1"/>
          <w:lang w:val="en-CA"/>
        </w:rPr>
        <w:t>).</w:t>
      </w:r>
      <w:r w:rsidRPr="001A6BB9">
        <w:rPr>
          <w:rStyle w:val="apple-converted-space"/>
          <w:color w:val="000000" w:themeColor="text1"/>
          <w:lang w:val="en-CA"/>
        </w:rPr>
        <w:t> </w:t>
      </w:r>
      <w:r w:rsidRPr="001A6BB9">
        <w:rPr>
          <w:rStyle w:val="Accentuation"/>
          <w:color w:val="000000" w:themeColor="text1"/>
          <w:lang w:val="en-CA"/>
        </w:rPr>
        <w:t>16 ways you can stand against rape culture</w:t>
      </w:r>
      <w:r w:rsidRPr="001A6BB9">
        <w:rPr>
          <w:i/>
          <w:iCs/>
          <w:color w:val="000000" w:themeColor="text1"/>
          <w:lang w:val="en-CA"/>
        </w:rPr>
        <w:t>.</w:t>
      </w:r>
      <w:r w:rsidRPr="001A6BB9">
        <w:rPr>
          <w:color w:val="000000" w:themeColor="text1"/>
          <w:lang w:val="en-CA"/>
        </w:rPr>
        <w:t xml:space="preserve"> </w:t>
      </w:r>
      <w:r w:rsidRPr="001A6BB9">
        <w:rPr>
          <w:i/>
          <w:iCs/>
          <w:color w:val="000000" w:themeColor="text1"/>
        </w:rPr>
        <w:t xml:space="preserve">Un </w:t>
      </w:r>
    </w:p>
    <w:p w14:paraId="4F71A26A" w14:textId="77777777" w:rsidR="006F7996" w:rsidRPr="001A6BB9" w:rsidRDefault="006F7996" w:rsidP="006F7996">
      <w:pPr>
        <w:spacing w:line="360" w:lineRule="auto"/>
        <w:ind w:left="708"/>
        <w:jc w:val="both"/>
        <w:rPr>
          <w:color w:val="000000" w:themeColor="text1"/>
        </w:rPr>
      </w:pPr>
      <w:proofErr w:type="gramStart"/>
      <w:r w:rsidRPr="001A6BB9">
        <w:rPr>
          <w:i/>
          <w:iCs/>
          <w:color w:val="000000" w:themeColor="text1"/>
        </w:rPr>
        <w:t>women</w:t>
      </w:r>
      <w:proofErr w:type="gramEnd"/>
      <w:r w:rsidRPr="001A6BB9">
        <w:rPr>
          <w:color w:val="000000" w:themeColor="text1"/>
        </w:rPr>
        <w:t>.</w:t>
      </w:r>
      <w:r w:rsidRPr="001A6BB9">
        <w:rPr>
          <w:rStyle w:val="apple-converted-space"/>
          <w:color w:val="000000" w:themeColor="text1"/>
        </w:rPr>
        <w:t> </w:t>
      </w:r>
      <w:hyperlink r:id="rId16" w:history="1">
        <w:r w:rsidRPr="001A6BB9">
          <w:rPr>
            <w:rStyle w:val="Hyperlien"/>
            <w:color w:val="000000" w:themeColor="text1"/>
            <w:u w:val="none"/>
          </w:rPr>
          <w:t>https://www.unwomen.org/fr/news/stories/2019/11/compilation-ways-you-can-stand-against-rape-culture</w:t>
        </w:r>
      </w:hyperlink>
    </w:p>
    <w:p w14:paraId="5570A2EF" w14:textId="77777777" w:rsidR="006F7996" w:rsidRPr="001A6BB9" w:rsidRDefault="006F7996" w:rsidP="006F7996">
      <w:pPr>
        <w:spacing w:line="360" w:lineRule="auto"/>
        <w:jc w:val="both"/>
        <w:rPr>
          <w:color w:val="000000" w:themeColor="text1"/>
        </w:rPr>
      </w:pPr>
    </w:p>
    <w:p w14:paraId="5D279047" w14:textId="77777777" w:rsidR="006F7996" w:rsidRPr="001A6BB9" w:rsidRDefault="006F7996" w:rsidP="006F7996">
      <w:pPr>
        <w:spacing w:line="360" w:lineRule="auto"/>
        <w:jc w:val="both"/>
        <w:rPr>
          <w:color w:val="000000" w:themeColor="text1"/>
          <w:shd w:val="clear" w:color="auto" w:fill="FFFFFF"/>
          <w:lang w:val="en-CA"/>
        </w:rPr>
      </w:pPr>
      <w:r w:rsidRPr="001A6BB9">
        <w:rPr>
          <w:color w:val="000000" w:themeColor="text1"/>
          <w:shd w:val="clear" w:color="auto" w:fill="FFFFFF"/>
          <w:lang w:val="en-CA"/>
        </w:rPr>
        <w:t xml:space="preserve">23- Raby, R. (2009). « Tank tops are ok but </w:t>
      </w:r>
      <w:proofErr w:type="spellStart"/>
      <w:r w:rsidRPr="001A6BB9">
        <w:rPr>
          <w:color w:val="000000" w:themeColor="text1"/>
          <w:shd w:val="clear" w:color="auto" w:fill="FFFFFF"/>
          <w:lang w:val="en-CA"/>
        </w:rPr>
        <w:t>i</w:t>
      </w:r>
      <w:proofErr w:type="spellEnd"/>
      <w:r w:rsidRPr="001A6BB9">
        <w:rPr>
          <w:color w:val="000000" w:themeColor="text1"/>
          <w:shd w:val="clear" w:color="auto" w:fill="FFFFFF"/>
          <w:lang w:val="en-CA"/>
        </w:rPr>
        <w:t xml:space="preserve"> don’t want to see her thong »: Girls’ engagements </w:t>
      </w:r>
    </w:p>
    <w:p w14:paraId="51D6CB62" w14:textId="77777777" w:rsidR="006F7996" w:rsidRPr="001A6BB9" w:rsidRDefault="006F7996" w:rsidP="006F7996">
      <w:pPr>
        <w:spacing w:line="360" w:lineRule="auto"/>
        <w:ind w:left="708"/>
        <w:jc w:val="both"/>
        <w:rPr>
          <w:color w:val="000000" w:themeColor="text1"/>
          <w:lang w:val="en-CA"/>
        </w:rPr>
      </w:pPr>
      <w:r w:rsidRPr="001A6BB9">
        <w:rPr>
          <w:color w:val="000000" w:themeColor="text1"/>
          <w:shd w:val="clear" w:color="auto" w:fill="FFFFFF"/>
          <w:lang w:val="en-CA"/>
        </w:rPr>
        <w:lastRenderedPageBreak/>
        <w:t xml:space="preserve">with secondary school dress codes. </w:t>
      </w:r>
      <w:r w:rsidRPr="001A6BB9">
        <w:rPr>
          <w:i/>
          <w:iCs/>
          <w:color w:val="000000" w:themeColor="text1"/>
          <w:lang w:val="en-CA"/>
        </w:rPr>
        <w:t>Youth &amp; Society</w:t>
      </w:r>
      <w:r w:rsidRPr="001A6BB9">
        <w:rPr>
          <w:color w:val="000000" w:themeColor="text1"/>
          <w:shd w:val="clear" w:color="auto" w:fill="FFFFFF"/>
          <w:lang w:val="en-CA"/>
        </w:rPr>
        <w:t>, </w:t>
      </w:r>
      <w:r w:rsidRPr="001A6BB9">
        <w:rPr>
          <w:i/>
          <w:iCs/>
          <w:color w:val="000000" w:themeColor="text1"/>
          <w:lang w:val="en-CA"/>
        </w:rPr>
        <w:t>41</w:t>
      </w:r>
      <w:r w:rsidRPr="001A6BB9">
        <w:rPr>
          <w:color w:val="000000" w:themeColor="text1"/>
          <w:shd w:val="clear" w:color="auto" w:fill="FFFFFF"/>
          <w:lang w:val="en-CA"/>
        </w:rPr>
        <w:t>(3), 333-356. </w:t>
      </w:r>
      <w:hyperlink r:id="rId17" w:history="1">
        <w:r w:rsidRPr="001A6BB9">
          <w:rPr>
            <w:color w:val="000000" w:themeColor="text1"/>
            <w:u w:val="single"/>
            <w:lang w:val="en-CA"/>
          </w:rPr>
          <w:t>https://doi.org/10.1177/0044118X09333663</w:t>
        </w:r>
      </w:hyperlink>
      <w:r w:rsidRPr="001A6BB9">
        <w:rPr>
          <w:color w:val="000000" w:themeColor="text1"/>
          <w:shd w:val="clear" w:color="auto" w:fill="FFFFFF"/>
          <w:lang w:val="en-CA"/>
        </w:rPr>
        <w:t> </w:t>
      </w:r>
    </w:p>
    <w:p w14:paraId="38455567" w14:textId="77777777" w:rsidR="006F7996" w:rsidRPr="001A6BB9" w:rsidRDefault="006F7996" w:rsidP="006F7996">
      <w:pPr>
        <w:spacing w:line="360" w:lineRule="auto"/>
        <w:jc w:val="both"/>
        <w:rPr>
          <w:color w:val="000000" w:themeColor="text1"/>
          <w:lang w:val="en-CA"/>
        </w:rPr>
      </w:pPr>
    </w:p>
    <w:p w14:paraId="56EA3259" w14:textId="77777777" w:rsidR="006F7996" w:rsidRPr="001A6BB9" w:rsidRDefault="006F7996" w:rsidP="006F7996">
      <w:pPr>
        <w:spacing w:line="360" w:lineRule="auto"/>
        <w:jc w:val="both"/>
        <w:rPr>
          <w:color w:val="000000" w:themeColor="text1"/>
        </w:rPr>
      </w:pPr>
      <w:r w:rsidRPr="001A6BB9">
        <w:rPr>
          <w:color w:val="000000" w:themeColor="text1"/>
        </w:rPr>
        <w:t xml:space="preserve">24- Ricci, S. (2025). Le concept de culture du viol, héritage de luttes contre les oppressions </w:t>
      </w:r>
    </w:p>
    <w:p w14:paraId="719A69AE" w14:textId="77777777" w:rsidR="006F7996" w:rsidRPr="001A6BB9" w:rsidRDefault="006F7996" w:rsidP="006F7996">
      <w:pPr>
        <w:spacing w:line="360" w:lineRule="auto"/>
        <w:ind w:left="708"/>
        <w:jc w:val="both"/>
        <w:rPr>
          <w:color w:val="000000" w:themeColor="text1"/>
          <w:lang w:val="en-CA"/>
        </w:rPr>
      </w:pPr>
      <w:proofErr w:type="gramStart"/>
      <w:r w:rsidRPr="001A6BB9">
        <w:rPr>
          <w:color w:val="000000" w:themeColor="text1"/>
        </w:rPr>
        <w:t>patriarcales</w:t>
      </w:r>
      <w:proofErr w:type="gramEnd"/>
      <w:r w:rsidRPr="001A6BB9">
        <w:rPr>
          <w:color w:val="000000" w:themeColor="text1"/>
        </w:rPr>
        <w:t xml:space="preserve"> et racistes. </w:t>
      </w:r>
      <w:r w:rsidRPr="001A6BB9">
        <w:rPr>
          <w:i/>
          <w:iCs/>
          <w:color w:val="000000" w:themeColor="text1"/>
        </w:rPr>
        <w:t>Nouvelles questions féministes, 44</w:t>
      </w:r>
      <w:r w:rsidRPr="001A6BB9">
        <w:rPr>
          <w:color w:val="000000" w:themeColor="text1"/>
        </w:rPr>
        <w:t xml:space="preserve">(1), 97-113. </w:t>
      </w:r>
      <w:r w:rsidRPr="001A6BB9">
        <w:rPr>
          <w:color w:val="000000" w:themeColor="text1"/>
          <w:lang w:val="en-CA"/>
        </w:rPr>
        <w:t>DOI 10.3917/nqf.441.0097</w:t>
      </w:r>
    </w:p>
    <w:p w14:paraId="4BD520E3" w14:textId="77777777" w:rsidR="006F7996" w:rsidRPr="001A6BB9" w:rsidRDefault="006F7996" w:rsidP="006F7996">
      <w:pPr>
        <w:spacing w:line="360" w:lineRule="auto"/>
        <w:ind w:left="708"/>
        <w:jc w:val="both"/>
        <w:rPr>
          <w:color w:val="000000" w:themeColor="text1"/>
          <w:lang w:val="en-CA"/>
        </w:rPr>
      </w:pPr>
    </w:p>
    <w:p w14:paraId="4A5B74DD" w14:textId="77777777" w:rsidR="006F7996" w:rsidRPr="001A6BB9" w:rsidRDefault="006F7996" w:rsidP="006F7996">
      <w:pPr>
        <w:spacing w:line="360" w:lineRule="auto"/>
        <w:jc w:val="both"/>
        <w:rPr>
          <w:color w:val="000000" w:themeColor="text1"/>
          <w:lang w:val="en-CA"/>
        </w:rPr>
      </w:pPr>
      <w:r w:rsidRPr="001A6BB9">
        <w:rPr>
          <w:color w:val="000000" w:themeColor="text1"/>
          <w:lang w:val="en-CA"/>
        </w:rPr>
        <w:t xml:space="preserve">25- Ringrose, J. et </w:t>
      </w:r>
      <w:proofErr w:type="gramStart"/>
      <w:r w:rsidRPr="001A6BB9">
        <w:rPr>
          <w:color w:val="000000" w:themeColor="text1"/>
          <w:lang w:val="en-CA"/>
        </w:rPr>
        <w:t>Renold ,</w:t>
      </w:r>
      <w:proofErr w:type="gramEnd"/>
      <w:r w:rsidRPr="001A6BB9">
        <w:rPr>
          <w:color w:val="000000" w:themeColor="text1"/>
          <w:lang w:val="en-CA"/>
        </w:rPr>
        <w:t xml:space="preserve"> E. (2012) Slut-shaming, girl power and « sexualization »: thinking </w:t>
      </w:r>
    </w:p>
    <w:p w14:paraId="319F184E" w14:textId="77777777" w:rsidR="006F7996" w:rsidRPr="001A6BB9" w:rsidRDefault="006F7996" w:rsidP="006F7996">
      <w:pPr>
        <w:spacing w:line="360" w:lineRule="auto"/>
        <w:ind w:left="708"/>
        <w:jc w:val="both"/>
        <w:rPr>
          <w:color w:val="000000" w:themeColor="text1"/>
        </w:rPr>
      </w:pPr>
      <w:r w:rsidRPr="001A6BB9">
        <w:rPr>
          <w:color w:val="000000" w:themeColor="text1"/>
          <w:lang w:val="en-CA"/>
        </w:rPr>
        <w:t xml:space="preserve">through the politics of the international </w:t>
      </w:r>
      <w:proofErr w:type="spellStart"/>
      <w:r w:rsidRPr="001A6BB9">
        <w:rPr>
          <w:color w:val="000000" w:themeColor="text1"/>
          <w:lang w:val="en-CA"/>
        </w:rPr>
        <w:t>SlutWalks</w:t>
      </w:r>
      <w:proofErr w:type="spellEnd"/>
      <w:r w:rsidRPr="001A6BB9">
        <w:rPr>
          <w:color w:val="000000" w:themeColor="text1"/>
          <w:lang w:val="en-CA"/>
        </w:rPr>
        <w:t xml:space="preserve"> with teen girls. </w:t>
      </w:r>
      <w:proofErr w:type="spellStart"/>
      <w:r w:rsidRPr="001A6BB9">
        <w:rPr>
          <w:i/>
          <w:iCs/>
          <w:color w:val="000000" w:themeColor="text1"/>
        </w:rPr>
        <w:t>Gender</w:t>
      </w:r>
      <w:proofErr w:type="spellEnd"/>
      <w:r w:rsidRPr="001A6BB9">
        <w:rPr>
          <w:i/>
          <w:iCs/>
          <w:color w:val="000000" w:themeColor="text1"/>
        </w:rPr>
        <w:t xml:space="preserve"> and </w:t>
      </w:r>
      <w:proofErr w:type="spellStart"/>
      <w:r w:rsidRPr="001A6BB9">
        <w:rPr>
          <w:i/>
          <w:iCs/>
          <w:color w:val="000000" w:themeColor="text1"/>
        </w:rPr>
        <w:t>Education</w:t>
      </w:r>
      <w:proofErr w:type="spellEnd"/>
      <w:r w:rsidRPr="001A6BB9">
        <w:rPr>
          <w:i/>
          <w:iCs/>
          <w:color w:val="000000" w:themeColor="text1"/>
        </w:rPr>
        <w:t>, 24</w:t>
      </w:r>
      <w:r w:rsidRPr="001A6BB9">
        <w:rPr>
          <w:color w:val="000000" w:themeColor="text1"/>
        </w:rPr>
        <w:t>(3), 333-343. DOI: 10.1080/09540253.2011.645023</w:t>
      </w:r>
    </w:p>
    <w:p w14:paraId="3F742FE5" w14:textId="77777777" w:rsidR="006F7996" w:rsidRPr="001A6BB9" w:rsidRDefault="006F7996" w:rsidP="006F7996">
      <w:pPr>
        <w:spacing w:line="360" w:lineRule="auto"/>
        <w:ind w:left="708"/>
        <w:jc w:val="both"/>
        <w:rPr>
          <w:color w:val="000000" w:themeColor="text1"/>
        </w:rPr>
      </w:pPr>
    </w:p>
    <w:p w14:paraId="675E2993" w14:textId="77777777" w:rsidR="006F7996" w:rsidRPr="001A6BB9" w:rsidRDefault="006F7996" w:rsidP="006F7996">
      <w:pPr>
        <w:pStyle w:val="NormalWeb"/>
        <w:shd w:val="clear" w:color="auto" w:fill="FFFFFF"/>
        <w:spacing w:before="0" w:beforeAutospacing="0" w:after="0" w:afterAutospacing="0" w:line="360" w:lineRule="auto"/>
        <w:jc w:val="both"/>
        <w:rPr>
          <w:i/>
          <w:iCs/>
          <w:color w:val="000000" w:themeColor="text1"/>
          <w:shd w:val="clear" w:color="auto" w:fill="FFFFFF"/>
        </w:rPr>
      </w:pPr>
      <w:r w:rsidRPr="001A6BB9">
        <w:rPr>
          <w:color w:val="000000" w:themeColor="text1"/>
          <w:shd w:val="clear" w:color="auto" w:fill="FFFFFF"/>
        </w:rPr>
        <w:t xml:space="preserve">26- Roberts, J. V. (1990) </w:t>
      </w:r>
      <w:r w:rsidRPr="001A6BB9">
        <w:rPr>
          <w:i/>
          <w:iCs/>
          <w:color w:val="000000" w:themeColor="text1"/>
          <w:shd w:val="clear" w:color="auto" w:fill="FFFFFF"/>
        </w:rPr>
        <w:t xml:space="preserve">La loi sur les agressions sexuelles au Canada, une évaluation, analyse </w:t>
      </w:r>
    </w:p>
    <w:p w14:paraId="226DCDE3" w14:textId="77777777" w:rsidR="006F7996" w:rsidRPr="001A6BB9" w:rsidRDefault="006F7996" w:rsidP="006F7996">
      <w:pPr>
        <w:pStyle w:val="NormalWeb"/>
        <w:shd w:val="clear" w:color="auto" w:fill="FFFFFF"/>
        <w:spacing w:before="0" w:beforeAutospacing="0" w:after="0" w:afterAutospacing="0" w:line="360" w:lineRule="auto"/>
        <w:ind w:left="708"/>
        <w:jc w:val="both"/>
        <w:rPr>
          <w:i/>
          <w:iCs/>
          <w:color w:val="000000" w:themeColor="text1"/>
          <w:shd w:val="clear" w:color="auto" w:fill="FFFFFF"/>
        </w:rPr>
      </w:pPr>
      <w:proofErr w:type="gramStart"/>
      <w:r w:rsidRPr="001A6BB9">
        <w:rPr>
          <w:i/>
          <w:iCs/>
          <w:color w:val="000000" w:themeColor="text1"/>
          <w:shd w:val="clear" w:color="auto" w:fill="FFFFFF"/>
        </w:rPr>
        <w:t>des</w:t>
      </w:r>
      <w:proofErr w:type="gramEnd"/>
      <w:r w:rsidRPr="001A6BB9">
        <w:rPr>
          <w:i/>
          <w:iCs/>
          <w:color w:val="000000" w:themeColor="text1"/>
          <w:shd w:val="clear" w:color="auto" w:fill="FFFFFF"/>
        </w:rPr>
        <w:t xml:space="preserve"> statistiques </w:t>
      </w:r>
      <w:r w:rsidRPr="001A6BB9">
        <w:rPr>
          <w:color w:val="000000" w:themeColor="text1"/>
          <w:shd w:val="clear" w:color="auto" w:fill="FFFFFF"/>
        </w:rPr>
        <w:t>(rapport no 4). Ministère de la justice du Canada. https://publications.gc.ca/collections/collection_2022/jus/J23-9-4-1991-fra.pdf</w:t>
      </w:r>
    </w:p>
    <w:p w14:paraId="69803D00" w14:textId="77777777" w:rsidR="006F7996" w:rsidRPr="001A6BB9" w:rsidRDefault="006F7996" w:rsidP="006F7996">
      <w:pPr>
        <w:spacing w:line="360" w:lineRule="auto"/>
        <w:jc w:val="both"/>
        <w:rPr>
          <w:color w:val="000000" w:themeColor="text1"/>
        </w:rPr>
      </w:pPr>
    </w:p>
    <w:p w14:paraId="77B12A66" w14:textId="77777777" w:rsidR="006F7996" w:rsidRPr="001A6BB9" w:rsidRDefault="006F7996" w:rsidP="006F7996">
      <w:pPr>
        <w:pStyle w:val="p1"/>
        <w:spacing w:line="360" w:lineRule="auto"/>
        <w:jc w:val="both"/>
        <w:rPr>
          <w:rFonts w:ascii="Times New Roman" w:hAnsi="Times New Roman" w:cs="Times New Roman"/>
          <w:color w:val="000000" w:themeColor="text1"/>
          <w:kern w:val="36"/>
          <w:sz w:val="24"/>
          <w:szCs w:val="24"/>
          <w:lang w:val="en-CA"/>
        </w:rPr>
      </w:pPr>
      <w:r w:rsidRPr="001A6BB9">
        <w:rPr>
          <w:rFonts w:ascii="Times New Roman" w:hAnsi="Times New Roman" w:cs="Times New Roman"/>
          <w:color w:val="000000" w:themeColor="text1"/>
          <w:sz w:val="24"/>
          <w:szCs w:val="24"/>
        </w:rPr>
        <w:t>27- Rousseau, C., Bergeron, M. et Ricci, S. (2020).</w:t>
      </w:r>
      <w:r w:rsidRPr="001A6BB9">
        <w:rPr>
          <w:rStyle w:val="Titre2Car"/>
          <w:rFonts w:ascii="Times New Roman" w:hAnsi="Times New Roman" w:cs="Times New Roman"/>
          <w:b/>
          <w:bCs/>
          <w:color w:val="000000" w:themeColor="text1"/>
          <w:sz w:val="24"/>
          <w:szCs w:val="24"/>
        </w:rPr>
        <w:t xml:space="preserve"> </w:t>
      </w:r>
      <w:r w:rsidRPr="001A6BB9">
        <w:rPr>
          <w:rFonts w:ascii="Times New Roman" w:hAnsi="Times New Roman" w:cs="Times New Roman"/>
          <w:color w:val="000000" w:themeColor="text1"/>
          <w:kern w:val="36"/>
          <w:sz w:val="24"/>
          <w:szCs w:val="24"/>
          <w:lang w:val="en-CA"/>
        </w:rPr>
        <w:t xml:space="preserve">A </w:t>
      </w:r>
      <w:proofErr w:type="spellStart"/>
      <w:r w:rsidRPr="001A6BB9">
        <w:rPr>
          <w:rFonts w:ascii="Times New Roman" w:hAnsi="Times New Roman" w:cs="Times New Roman"/>
          <w:color w:val="000000" w:themeColor="text1"/>
          <w:kern w:val="36"/>
          <w:sz w:val="24"/>
          <w:szCs w:val="24"/>
          <w:lang w:val="en-CA"/>
        </w:rPr>
        <w:t>metasynthesis</w:t>
      </w:r>
      <w:proofErr w:type="spellEnd"/>
      <w:r w:rsidRPr="001A6BB9">
        <w:rPr>
          <w:rFonts w:ascii="Times New Roman" w:hAnsi="Times New Roman" w:cs="Times New Roman"/>
          <w:color w:val="000000" w:themeColor="text1"/>
          <w:kern w:val="36"/>
          <w:sz w:val="24"/>
          <w:szCs w:val="24"/>
          <w:lang w:val="en-CA"/>
        </w:rPr>
        <w:t xml:space="preserve"> of qualitative studies on girls' </w:t>
      </w:r>
    </w:p>
    <w:p w14:paraId="62B47F7E" w14:textId="77777777" w:rsidR="006F7996" w:rsidRPr="001A6BB9" w:rsidRDefault="006F7996" w:rsidP="006F7996">
      <w:pPr>
        <w:pStyle w:val="p1"/>
        <w:spacing w:line="360" w:lineRule="auto"/>
        <w:ind w:left="708"/>
        <w:jc w:val="both"/>
        <w:rPr>
          <w:rFonts w:ascii="Helvetica" w:hAnsi="Helvetica" w:cs="Times New Roman"/>
          <w:color w:val="000000" w:themeColor="text1"/>
          <w:sz w:val="11"/>
          <w:szCs w:val="11"/>
          <w:lang w:val="en-CA"/>
        </w:rPr>
      </w:pPr>
      <w:r w:rsidRPr="001A6BB9">
        <w:rPr>
          <w:rFonts w:ascii="Times New Roman" w:hAnsi="Times New Roman" w:cs="Times New Roman"/>
          <w:color w:val="000000" w:themeColor="text1"/>
          <w:kern w:val="36"/>
          <w:sz w:val="24"/>
          <w:szCs w:val="24"/>
          <w:lang w:val="en-CA"/>
        </w:rPr>
        <w:t xml:space="preserve">and women's labeling of sexual violence. </w:t>
      </w:r>
      <w:r w:rsidRPr="001A6BB9">
        <w:rPr>
          <w:rFonts w:ascii="Times New Roman" w:hAnsi="Times New Roman" w:cs="Times New Roman"/>
          <w:i/>
          <w:iCs/>
          <w:color w:val="000000" w:themeColor="text1"/>
          <w:kern w:val="36"/>
          <w:sz w:val="24"/>
          <w:szCs w:val="24"/>
          <w:lang w:val="en-CA"/>
        </w:rPr>
        <w:t>Aggression and violent behavior, 52</w:t>
      </w:r>
      <w:r w:rsidRPr="001A6BB9">
        <w:rPr>
          <w:rFonts w:ascii="Times New Roman" w:hAnsi="Times New Roman" w:cs="Times New Roman"/>
          <w:color w:val="000000" w:themeColor="text1"/>
          <w:kern w:val="36"/>
          <w:sz w:val="24"/>
          <w:szCs w:val="24"/>
          <w:lang w:val="en-CA"/>
        </w:rPr>
        <w:t xml:space="preserve">, article 101395. </w:t>
      </w:r>
      <w:r w:rsidRPr="001A6BB9">
        <w:rPr>
          <w:rFonts w:ascii="Times New Roman" w:hAnsi="Times New Roman" w:cs="Times New Roman"/>
          <w:color w:val="000000" w:themeColor="text1"/>
          <w:sz w:val="24"/>
          <w:szCs w:val="24"/>
          <w:lang w:val="en-CA"/>
        </w:rPr>
        <w:t>https://doi.org/10.1016/j.avb.2020.101395</w:t>
      </w:r>
    </w:p>
    <w:p w14:paraId="418BE8F4" w14:textId="77777777" w:rsidR="006F7996" w:rsidRPr="001A6BB9" w:rsidRDefault="006F7996" w:rsidP="006F7996">
      <w:pPr>
        <w:spacing w:line="360" w:lineRule="auto"/>
        <w:jc w:val="both"/>
        <w:rPr>
          <w:i/>
          <w:iCs/>
          <w:color w:val="000000" w:themeColor="text1"/>
          <w:lang w:val="en-CA"/>
        </w:rPr>
      </w:pPr>
    </w:p>
    <w:p w14:paraId="2F74ACDD" w14:textId="77777777" w:rsidR="006F7996" w:rsidRPr="001A6BB9" w:rsidRDefault="006F7996" w:rsidP="006F7996">
      <w:pPr>
        <w:pStyle w:val="p1"/>
        <w:spacing w:line="360" w:lineRule="auto"/>
        <w:jc w:val="both"/>
        <w:rPr>
          <w:rFonts w:ascii="Times New Roman" w:hAnsi="Times New Roman" w:cs="Times New Roman"/>
          <w:color w:val="000000" w:themeColor="text1"/>
          <w:sz w:val="24"/>
          <w:szCs w:val="24"/>
          <w:lang w:val="en-CA"/>
        </w:rPr>
      </w:pPr>
      <w:r w:rsidRPr="001A6BB9">
        <w:rPr>
          <w:rFonts w:ascii="Times New Roman" w:hAnsi="Times New Roman" w:cs="Times New Roman"/>
          <w:color w:val="000000" w:themeColor="text1"/>
          <w:sz w:val="24"/>
          <w:szCs w:val="24"/>
        </w:rPr>
        <w:t xml:space="preserve">28- Suarez, E. et </w:t>
      </w:r>
      <w:proofErr w:type="spellStart"/>
      <w:r w:rsidRPr="001A6BB9">
        <w:rPr>
          <w:rFonts w:ascii="Times New Roman" w:hAnsi="Times New Roman" w:cs="Times New Roman"/>
          <w:color w:val="000000" w:themeColor="text1"/>
          <w:sz w:val="24"/>
          <w:szCs w:val="24"/>
        </w:rPr>
        <w:t>Gadalla</w:t>
      </w:r>
      <w:proofErr w:type="spellEnd"/>
      <w:r w:rsidRPr="001A6BB9">
        <w:rPr>
          <w:rFonts w:ascii="Times New Roman" w:hAnsi="Times New Roman" w:cs="Times New Roman"/>
          <w:color w:val="000000" w:themeColor="text1"/>
          <w:sz w:val="24"/>
          <w:szCs w:val="24"/>
        </w:rPr>
        <w:t xml:space="preserve">, T. M. (2010). </w:t>
      </w:r>
      <w:r w:rsidRPr="001A6BB9">
        <w:rPr>
          <w:rFonts w:ascii="Times New Roman" w:hAnsi="Times New Roman" w:cs="Times New Roman"/>
          <w:color w:val="000000" w:themeColor="text1"/>
          <w:sz w:val="24"/>
          <w:szCs w:val="24"/>
          <w:lang w:val="en-CA"/>
        </w:rPr>
        <w:t xml:space="preserve">Stop blaming the victim: A meta-analysis on rape myths. </w:t>
      </w:r>
    </w:p>
    <w:p w14:paraId="2A18540E" w14:textId="77777777" w:rsidR="006F7996" w:rsidRPr="006F7996" w:rsidRDefault="006F7996" w:rsidP="006F7996">
      <w:pPr>
        <w:pStyle w:val="p1"/>
        <w:spacing w:line="360" w:lineRule="auto"/>
        <w:ind w:firstLine="708"/>
        <w:jc w:val="both"/>
        <w:rPr>
          <w:rFonts w:ascii="Times New Roman" w:hAnsi="Times New Roman" w:cs="Times New Roman"/>
          <w:i/>
          <w:iCs/>
          <w:color w:val="000000" w:themeColor="text1"/>
          <w:sz w:val="24"/>
          <w:szCs w:val="24"/>
          <w:lang w:val="en-CA"/>
        </w:rPr>
      </w:pPr>
      <w:r w:rsidRPr="006F7996">
        <w:rPr>
          <w:rFonts w:ascii="Times New Roman" w:hAnsi="Times New Roman" w:cs="Times New Roman"/>
          <w:i/>
          <w:iCs/>
          <w:color w:val="000000" w:themeColor="text1"/>
          <w:sz w:val="24"/>
          <w:szCs w:val="24"/>
          <w:lang w:val="en-CA"/>
        </w:rPr>
        <w:t>Journal of interpersonal violence</w:t>
      </w:r>
      <w:r w:rsidRPr="006F7996">
        <w:rPr>
          <w:rFonts w:ascii="Times New Roman" w:hAnsi="Times New Roman" w:cs="Times New Roman"/>
          <w:color w:val="000000" w:themeColor="text1"/>
          <w:sz w:val="24"/>
          <w:szCs w:val="24"/>
          <w:lang w:val="en-CA"/>
        </w:rPr>
        <w:t xml:space="preserve">, </w:t>
      </w:r>
      <w:r w:rsidRPr="006F7996">
        <w:rPr>
          <w:rFonts w:ascii="Times New Roman" w:hAnsi="Times New Roman" w:cs="Times New Roman"/>
          <w:i/>
          <w:iCs/>
          <w:color w:val="000000" w:themeColor="text1"/>
          <w:sz w:val="24"/>
          <w:szCs w:val="24"/>
          <w:lang w:val="en-CA"/>
        </w:rPr>
        <w:t>25</w:t>
      </w:r>
      <w:r w:rsidRPr="006F7996">
        <w:rPr>
          <w:rFonts w:ascii="Times New Roman" w:hAnsi="Times New Roman" w:cs="Times New Roman"/>
          <w:color w:val="000000" w:themeColor="text1"/>
          <w:sz w:val="24"/>
          <w:szCs w:val="24"/>
          <w:lang w:val="en-CA"/>
        </w:rPr>
        <w:t>(11), 2010-2035. DOI: 10.1177/0886260509354503</w:t>
      </w:r>
    </w:p>
    <w:p w14:paraId="025D78A7" w14:textId="77777777" w:rsidR="006F7996" w:rsidRPr="006F7996" w:rsidRDefault="006F7996" w:rsidP="006F7996">
      <w:pPr>
        <w:pStyle w:val="p1"/>
        <w:spacing w:line="360" w:lineRule="auto"/>
        <w:jc w:val="both"/>
        <w:rPr>
          <w:rFonts w:ascii="Times New Roman" w:hAnsi="Times New Roman" w:cs="Times New Roman"/>
          <w:color w:val="000000" w:themeColor="text1"/>
          <w:sz w:val="24"/>
          <w:szCs w:val="24"/>
          <w:lang w:val="en-CA"/>
        </w:rPr>
      </w:pPr>
    </w:p>
    <w:p w14:paraId="56EA50CB" w14:textId="77777777" w:rsidR="006F7996" w:rsidRPr="001A6BB9" w:rsidRDefault="006F7996" w:rsidP="006F7996">
      <w:pPr>
        <w:spacing w:line="360" w:lineRule="auto"/>
        <w:jc w:val="both"/>
        <w:rPr>
          <w:color w:val="000000" w:themeColor="text1"/>
          <w:lang w:val="en-CA"/>
        </w:rPr>
      </w:pPr>
      <w:r w:rsidRPr="001A6BB9">
        <w:rPr>
          <w:color w:val="000000" w:themeColor="text1"/>
          <w:lang w:val="en-CA"/>
        </w:rPr>
        <w:t xml:space="preserve">29- Wah, S. (2016). Boys will be boys, and girls will get raped: how </w:t>
      </w:r>
      <w:proofErr w:type="gramStart"/>
      <w:r w:rsidRPr="001A6BB9">
        <w:rPr>
          <w:color w:val="000000" w:themeColor="text1"/>
          <w:lang w:val="en-CA"/>
        </w:rPr>
        <w:t>public school</w:t>
      </w:r>
      <w:proofErr w:type="gramEnd"/>
      <w:r w:rsidRPr="001A6BB9">
        <w:rPr>
          <w:color w:val="000000" w:themeColor="text1"/>
          <w:lang w:val="en-CA"/>
        </w:rPr>
        <w:t xml:space="preserve"> dress codes </w:t>
      </w:r>
    </w:p>
    <w:p w14:paraId="762A6971" w14:textId="77777777" w:rsidR="006F7996" w:rsidRPr="001A6BB9" w:rsidRDefault="006F7996" w:rsidP="006F7996">
      <w:pPr>
        <w:spacing w:line="360" w:lineRule="auto"/>
        <w:ind w:firstLine="708"/>
        <w:jc w:val="both"/>
        <w:rPr>
          <w:color w:val="000000" w:themeColor="text1"/>
          <w:lang w:val="en-CA"/>
        </w:rPr>
      </w:pPr>
      <w:r w:rsidRPr="001A6BB9">
        <w:rPr>
          <w:color w:val="000000" w:themeColor="text1"/>
          <w:lang w:val="en-CA"/>
        </w:rPr>
        <w:t xml:space="preserve">foster modern day rape culture. </w:t>
      </w:r>
      <w:r w:rsidRPr="001A6BB9">
        <w:rPr>
          <w:i/>
          <w:iCs/>
          <w:color w:val="000000" w:themeColor="text1"/>
          <w:lang w:val="en-CA"/>
        </w:rPr>
        <w:t>Cardozo journal of law &amp; gender</w:t>
      </w:r>
      <w:r w:rsidRPr="001A6BB9">
        <w:rPr>
          <w:color w:val="000000" w:themeColor="text1"/>
          <w:lang w:val="en-CA"/>
        </w:rPr>
        <w:t xml:space="preserve">, </w:t>
      </w:r>
      <w:r w:rsidRPr="001A6BB9">
        <w:rPr>
          <w:i/>
          <w:iCs/>
          <w:color w:val="000000" w:themeColor="text1"/>
          <w:lang w:val="en-CA"/>
        </w:rPr>
        <w:t>23</w:t>
      </w:r>
      <w:r w:rsidRPr="001A6BB9">
        <w:rPr>
          <w:color w:val="000000" w:themeColor="text1"/>
          <w:lang w:val="en-CA"/>
        </w:rPr>
        <w:t>(1), 245-276.</w:t>
      </w:r>
    </w:p>
    <w:p w14:paraId="541C01E5" w14:textId="77777777" w:rsidR="006F7996" w:rsidRPr="001A6BB9" w:rsidRDefault="006F7996" w:rsidP="006F7996">
      <w:pPr>
        <w:spacing w:line="360" w:lineRule="auto"/>
        <w:jc w:val="both"/>
        <w:rPr>
          <w:color w:val="000000" w:themeColor="text1"/>
          <w:lang w:val="en-CA"/>
        </w:rPr>
      </w:pPr>
    </w:p>
    <w:p w14:paraId="518192F8" w14:textId="77777777" w:rsidR="006F7996" w:rsidRPr="001A6BB9" w:rsidRDefault="006F7996" w:rsidP="006F7996">
      <w:pPr>
        <w:spacing w:line="360" w:lineRule="auto"/>
        <w:jc w:val="both"/>
        <w:rPr>
          <w:color w:val="000000" w:themeColor="text1"/>
        </w:rPr>
      </w:pPr>
      <w:r w:rsidRPr="001A6BB9">
        <w:rPr>
          <w:color w:val="000000" w:themeColor="text1"/>
        </w:rPr>
        <w:t xml:space="preserve">30- </w:t>
      </w:r>
      <w:proofErr w:type="spellStart"/>
      <w:r w:rsidRPr="001A6BB9">
        <w:rPr>
          <w:color w:val="000000" w:themeColor="text1"/>
        </w:rPr>
        <w:t>Zaccour</w:t>
      </w:r>
      <w:proofErr w:type="spellEnd"/>
      <w:r w:rsidRPr="001A6BB9">
        <w:rPr>
          <w:color w:val="000000" w:themeColor="text1"/>
        </w:rPr>
        <w:t xml:space="preserve">, S. et Lessard, M. (2021). La culture du viol dans le discours juridique : Soigner ses </w:t>
      </w:r>
    </w:p>
    <w:p w14:paraId="72F019B2" w14:textId="77777777" w:rsidR="006F7996" w:rsidRPr="001A6BB9" w:rsidRDefault="006F7996" w:rsidP="006F7996">
      <w:pPr>
        <w:spacing w:line="360" w:lineRule="auto"/>
        <w:ind w:left="708"/>
        <w:jc w:val="both"/>
        <w:rPr>
          <w:color w:val="000000" w:themeColor="text1"/>
          <w:lang w:val="en-CA"/>
        </w:rPr>
      </w:pPr>
      <w:proofErr w:type="gramStart"/>
      <w:r w:rsidRPr="001A6BB9">
        <w:rPr>
          <w:color w:val="000000" w:themeColor="text1"/>
        </w:rPr>
        <w:t>mots</w:t>
      </w:r>
      <w:proofErr w:type="gramEnd"/>
      <w:r w:rsidRPr="001A6BB9">
        <w:rPr>
          <w:color w:val="000000" w:themeColor="text1"/>
        </w:rPr>
        <w:t xml:space="preserve"> pour combattre les violences sexuelles. </w:t>
      </w:r>
      <w:r w:rsidRPr="001A6BB9">
        <w:rPr>
          <w:i/>
          <w:iCs/>
          <w:color w:val="000000" w:themeColor="text1"/>
          <w:lang w:val="en-CA"/>
        </w:rPr>
        <w:t>Canadian journal or woman and the Law, 33</w:t>
      </w:r>
      <w:r w:rsidRPr="001A6BB9">
        <w:rPr>
          <w:color w:val="000000" w:themeColor="text1"/>
          <w:lang w:val="en-CA"/>
        </w:rPr>
        <w:t>(2), 175-205.</w:t>
      </w:r>
    </w:p>
    <w:p w14:paraId="0016A732" w14:textId="77777777" w:rsidR="006F7996" w:rsidRPr="001A6BB9" w:rsidRDefault="006F7996" w:rsidP="006F7996">
      <w:pPr>
        <w:spacing w:line="360" w:lineRule="auto"/>
        <w:jc w:val="both"/>
        <w:rPr>
          <w:color w:val="000000" w:themeColor="text1"/>
          <w:lang w:val="en-CA"/>
        </w:rPr>
      </w:pPr>
      <w:r w:rsidRPr="001A6BB9">
        <w:rPr>
          <w:color w:val="000000" w:themeColor="text1"/>
        </w:rPr>
        <w:fldChar w:fldCharType="begin"/>
      </w:r>
      <w:r w:rsidRPr="001A6BB9">
        <w:rPr>
          <w:color w:val="000000" w:themeColor="text1"/>
        </w:rPr>
        <w:instrText xml:space="preserve"> INDEX \e "</w:instrText>
      </w:r>
      <w:r w:rsidRPr="001A6BB9">
        <w:rPr>
          <w:color w:val="000000" w:themeColor="text1"/>
        </w:rPr>
        <w:tab/>
        <w:instrText xml:space="preserve">" \h "A" \c "2" \z "3084" </w:instrText>
      </w:r>
      <w:r w:rsidRPr="001A6BB9">
        <w:rPr>
          <w:color w:val="000000" w:themeColor="text1"/>
        </w:rPr>
        <w:fldChar w:fldCharType="separate"/>
      </w:r>
      <w:r w:rsidRPr="001A6BB9">
        <w:rPr>
          <w:color w:val="000000" w:themeColor="text1"/>
        </w:rPr>
        <w:fldChar w:fldCharType="end"/>
      </w:r>
    </w:p>
    <w:p w14:paraId="0018E170" w14:textId="77777777" w:rsidR="006F7996" w:rsidRPr="001A6BB9" w:rsidRDefault="006F7996" w:rsidP="006F7996">
      <w:pPr>
        <w:spacing w:line="360" w:lineRule="auto"/>
        <w:jc w:val="both"/>
        <w:rPr>
          <w:color w:val="000000" w:themeColor="text1"/>
          <w:lang w:val="en-CA"/>
        </w:rPr>
      </w:pPr>
    </w:p>
    <w:p w14:paraId="6F6F28AC" w14:textId="77777777" w:rsidR="00856516" w:rsidRPr="006F7996" w:rsidRDefault="00856516">
      <w:pPr>
        <w:rPr>
          <w:lang w:val="en-CA"/>
        </w:rPr>
      </w:pPr>
    </w:p>
    <w:sectPr w:rsidR="00856516" w:rsidRPr="006F7996" w:rsidSect="006F7996">
      <w:footerReference w:type="even" r:id="rId18"/>
      <w:footerReference w:type="default" r:id="rId19"/>
      <w:pgSz w:w="12240" w:h="15840"/>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2784E" w14:textId="77777777" w:rsidR="000A208E" w:rsidRDefault="000A208E">
      <w:r>
        <w:separator/>
      </w:r>
    </w:p>
  </w:endnote>
  <w:endnote w:type="continuationSeparator" w:id="0">
    <w:p w14:paraId="3ED87702" w14:textId="77777777" w:rsidR="000A208E" w:rsidRDefault="000A2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353761343"/>
      <w:docPartObj>
        <w:docPartGallery w:val="Page Numbers (Bottom of Page)"/>
        <w:docPartUnique/>
      </w:docPartObj>
    </w:sdtPr>
    <w:sdtContent>
      <w:p w14:paraId="558D48F9" w14:textId="77777777" w:rsidR="006F7996" w:rsidRDefault="006F7996" w:rsidP="00B12EDD">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rPr>
          <w:fldChar w:fldCharType="end"/>
        </w:r>
      </w:p>
    </w:sdtContent>
  </w:sdt>
  <w:p w14:paraId="2835644D" w14:textId="77777777" w:rsidR="006F7996" w:rsidRDefault="006F7996" w:rsidP="005B5AF1">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746764674"/>
      <w:docPartObj>
        <w:docPartGallery w:val="Page Numbers (Bottom of Page)"/>
        <w:docPartUnique/>
      </w:docPartObj>
    </w:sdtPr>
    <w:sdtContent>
      <w:p w14:paraId="2518962F" w14:textId="77777777" w:rsidR="006F7996" w:rsidRDefault="006F7996" w:rsidP="00B12EDD">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p>
    </w:sdtContent>
  </w:sdt>
  <w:p w14:paraId="3B464D8F" w14:textId="77777777" w:rsidR="006F7996" w:rsidRDefault="006F7996" w:rsidP="005B5AF1">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92851" w14:textId="77777777" w:rsidR="000A208E" w:rsidRDefault="000A208E">
      <w:r>
        <w:separator/>
      </w:r>
    </w:p>
  </w:footnote>
  <w:footnote w:type="continuationSeparator" w:id="0">
    <w:p w14:paraId="278A907A" w14:textId="77777777" w:rsidR="000A208E" w:rsidRDefault="000A20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996"/>
    <w:rsid w:val="00003599"/>
    <w:rsid w:val="00023E5C"/>
    <w:rsid w:val="0004124B"/>
    <w:rsid w:val="00071A82"/>
    <w:rsid w:val="00071E3C"/>
    <w:rsid w:val="0009324B"/>
    <w:rsid w:val="000A208E"/>
    <w:rsid w:val="000E259E"/>
    <w:rsid w:val="00142B27"/>
    <w:rsid w:val="00174432"/>
    <w:rsid w:val="00175782"/>
    <w:rsid w:val="001820A9"/>
    <w:rsid w:val="001979CD"/>
    <w:rsid w:val="001B307C"/>
    <w:rsid w:val="00210774"/>
    <w:rsid w:val="0021212C"/>
    <w:rsid w:val="00233E75"/>
    <w:rsid w:val="00254992"/>
    <w:rsid w:val="00264DBC"/>
    <w:rsid w:val="00281549"/>
    <w:rsid w:val="0029138A"/>
    <w:rsid w:val="002A6D85"/>
    <w:rsid w:val="002D2630"/>
    <w:rsid w:val="00300CD8"/>
    <w:rsid w:val="00300ED7"/>
    <w:rsid w:val="00390399"/>
    <w:rsid w:val="003A3118"/>
    <w:rsid w:val="003B08FA"/>
    <w:rsid w:val="003B33BD"/>
    <w:rsid w:val="003B4826"/>
    <w:rsid w:val="00432465"/>
    <w:rsid w:val="004609E5"/>
    <w:rsid w:val="00466DBD"/>
    <w:rsid w:val="00490BDB"/>
    <w:rsid w:val="004979D1"/>
    <w:rsid w:val="004A33D7"/>
    <w:rsid w:val="00561D6D"/>
    <w:rsid w:val="0056415E"/>
    <w:rsid w:val="0056536E"/>
    <w:rsid w:val="00582C77"/>
    <w:rsid w:val="005918FD"/>
    <w:rsid w:val="005F68B0"/>
    <w:rsid w:val="00643E3F"/>
    <w:rsid w:val="006961AD"/>
    <w:rsid w:val="006F7996"/>
    <w:rsid w:val="0074302C"/>
    <w:rsid w:val="0078742C"/>
    <w:rsid w:val="007954F2"/>
    <w:rsid w:val="007A41FB"/>
    <w:rsid w:val="007A5CC3"/>
    <w:rsid w:val="0083303D"/>
    <w:rsid w:val="0084188E"/>
    <w:rsid w:val="00856516"/>
    <w:rsid w:val="00896D8D"/>
    <w:rsid w:val="008E3304"/>
    <w:rsid w:val="00913E28"/>
    <w:rsid w:val="00920A64"/>
    <w:rsid w:val="00997A68"/>
    <w:rsid w:val="009A4322"/>
    <w:rsid w:val="009C0E01"/>
    <w:rsid w:val="009D0FCD"/>
    <w:rsid w:val="009D57A3"/>
    <w:rsid w:val="00A3277E"/>
    <w:rsid w:val="00A350D3"/>
    <w:rsid w:val="00A3709F"/>
    <w:rsid w:val="00A85779"/>
    <w:rsid w:val="00AA37DA"/>
    <w:rsid w:val="00B10F6D"/>
    <w:rsid w:val="00B178BC"/>
    <w:rsid w:val="00B23AD4"/>
    <w:rsid w:val="00B456C8"/>
    <w:rsid w:val="00BA7391"/>
    <w:rsid w:val="00BC2E86"/>
    <w:rsid w:val="00BD2BCA"/>
    <w:rsid w:val="00BE744E"/>
    <w:rsid w:val="00C054D1"/>
    <w:rsid w:val="00C2211E"/>
    <w:rsid w:val="00C568EF"/>
    <w:rsid w:val="00C64F5A"/>
    <w:rsid w:val="00C9107D"/>
    <w:rsid w:val="00CA1C67"/>
    <w:rsid w:val="00CB2D76"/>
    <w:rsid w:val="00CB5051"/>
    <w:rsid w:val="00CE4236"/>
    <w:rsid w:val="00CF2D9B"/>
    <w:rsid w:val="00D21A9E"/>
    <w:rsid w:val="00D255CC"/>
    <w:rsid w:val="00D6654B"/>
    <w:rsid w:val="00D9063E"/>
    <w:rsid w:val="00DD10F5"/>
    <w:rsid w:val="00E028D2"/>
    <w:rsid w:val="00E42819"/>
    <w:rsid w:val="00E61A7C"/>
    <w:rsid w:val="00E639A6"/>
    <w:rsid w:val="00E665AE"/>
    <w:rsid w:val="00F37658"/>
    <w:rsid w:val="00F70A72"/>
    <w:rsid w:val="00F725D5"/>
    <w:rsid w:val="00F84A8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4:docId w14:val="32F42D4F"/>
  <w15:chartTrackingRefBased/>
  <w15:docId w15:val="{AC9F0912-B9C3-BA41-99EC-C1D6E5B20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996"/>
    <w:rPr>
      <w:rFonts w:ascii="Times New Roman" w:eastAsia="Times New Roman" w:hAnsi="Times New Roman" w:cs="Times New Roman"/>
      <w:kern w:val="0"/>
      <w:lang w:eastAsia="fr-CA"/>
      <w14:ligatures w14:val="none"/>
    </w:rPr>
  </w:style>
  <w:style w:type="paragraph" w:styleId="Titre1">
    <w:name w:val="heading 1"/>
    <w:basedOn w:val="Normal"/>
    <w:next w:val="Normal"/>
    <w:link w:val="Titre1Car"/>
    <w:uiPriority w:val="9"/>
    <w:qFormat/>
    <w:rsid w:val="006F7996"/>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6F7996"/>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6F7996"/>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6F7996"/>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re5">
    <w:name w:val="heading 5"/>
    <w:basedOn w:val="Normal"/>
    <w:next w:val="Normal"/>
    <w:link w:val="Titre5Car"/>
    <w:uiPriority w:val="9"/>
    <w:semiHidden/>
    <w:unhideWhenUsed/>
    <w:qFormat/>
    <w:rsid w:val="006F7996"/>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re6">
    <w:name w:val="heading 6"/>
    <w:basedOn w:val="Normal"/>
    <w:next w:val="Normal"/>
    <w:link w:val="Titre6Car"/>
    <w:uiPriority w:val="9"/>
    <w:semiHidden/>
    <w:unhideWhenUsed/>
    <w:qFormat/>
    <w:rsid w:val="006F7996"/>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re7">
    <w:name w:val="heading 7"/>
    <w:basedOn w:val="Normal"/>
    <w:next w:val="Normal"/>
    <w:link w:val="Titre7Car"/>
    <w:uiPriority w:val="9"/>
    <w:semiHidden/>
    <w:unhideWhenUsed/>
    <w:qFormat/>
    <w:rsid w:val="006F7996"/>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re8">
    <w:name w:val="heading 8"/>
    <w:basedOn w:val="Normal"/>
    <w:next w:val="Normal"/>
    <w:link w:val="Titre8Car"/>
    <w:uiPriority w:val="9"/>
    <w:semiHidden/>
    <w:unhideWhenUsed/>
    <w:qFormat/>
    <w:rsid w:val="006F7996"/>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re9">
    <w:name w:val="heading 9"/>
    <w:basedOn w:val="Normal"/>
    <w:next w:val="Normal"/>
    <w:link w:val="Titre9Car"/>
    <w:uiPriority w:val="9"/>
    <w:semiHidden/>
    <w:unhideWhenUsed/>
    <w:qFormat/>
    <w:rsid w:val="006F7996"/>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F799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F799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F799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F799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F799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F799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F799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F799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F7996"/>
    <w:rPr>
      <w:rFonts w:eastAsiaTheme="majorEastAsia" w:cstheme="majorBidi"/>
      <w:color w:val="272727" w:themeColor="text1" w:themeTint="D8"/>
    </w:rPr>
  </w:style>
  <w:style w:type="paragraph" w:styleId="Titre">
    <w:name w:val="Title"/>
    <w:basedOn w:val="Normal"/>
    <w:next w:val="Normal"/>
    <w:link w:val="TitreCar"/>
    <w:uiPriority w:val="10"/>
    <w:qFormat/>
    <w:rsid w:val="006F799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6F799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F7996"/>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6F799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F7996"/>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tionCar">
    <w:name w:val="Citation Car"/>
    <w:basedOn w:val="Policepardfaut"/>
    <w:link w:val="Citation"/>
    <w:uiPriority w:val="29"/>
    <w:rsid w:val="006F7996"/>
    <w:rPr>
      <w:i/>
      <w:iCs/>
      <w:color w:val="404040" w:themeColor="text1" w:themeTint="BF"/>
    </w:rPr>
  </w:style>
  <w:style w:type="paragraph" w:styleId="Paragraphedeliste">
    <w:name w:val="List Paragraph"/>
    <w:basedOn w:val="Normal"/>
    <w:uiPriority w:val="34"/>
    <w:qFormat/>
    <w:rsid w:val="006F7996"/>
    <w:pPr>
      <w:ind w:left="720"/>
      <w:contextualSpacing/>
    </w:pPr>
    <w:rPr>
      <w:rFonts w:asciiTheme="minorHAnsi" w:eastAsiaTheme="minorHAnsi" w:hAnsiTheme="minorHAnsi" w:cstheme="minorBidi"/>
      <w:kern w:val="2"/>
      <w:lang w:eastAsia="en-US"/>
      <w14:ligatures w14:val="standardContextual"/>
    </w:rPr>
  </w:style>
  <w:style w:type="character" w:styleId="Accentuationintense">
    <w:name w:val="Intense Emphasis"/>
    <w:basedOn w:val="Policepardfaut"/>
    <w:uiPriority w:val="21"/>
    <w:qFormat/>
    <w:rsid w:val="006F7996"/>
    <w:rPr>
      <w:i/>
      <w:iCs/>
      <w:color w:val="0F4761" w:themeColor="accent1" w:themeShade="BF"/>
    </w:rPr>
  </w:style>
  <w:style w:type="paragraph" w:styleId="Citationintense">
    <w:name w:val="Intense Quote"/>
    <w:basedOn w:val="Normal"/>
    <w:next w:val="Normal"/>
    <w:link w:val="CitationintenseCar"/>
    <w:uiPriority w:val="30"/>
    <w:qFormat/>
    <w:rsid w:val="006F799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tionintenseCar">
    <w:name w:val="Citation intense Car"/>
    <w:basedOn w:val="Policepardfaut"/>
    <w:link w:val="Citationintense"/>
    <w:uiPriority w:val="30"/>
    <w:rsid w:val="006F7996"/>
    <w:rPr>
      <w:i/>
      <w:iCs/>
      <w:color w:val="0F4761" w:themeColor="accent1" w:themeShade="BF"/>
    </w:rPr>
  </w:style>
  <w:style w:type="character" w:styleId="Rfrenceintense">
    <w:name w:val="Intense Reference"/>
    <w:basedOn w:val="Policepardfaut"/>
    <w:uiPriority w:val="32"/>
    <w:qFormat/>
    <w:rsid w:val="006F7996"/>
    <w:rPr>
      <w:b/>
      <w:bCs/>
      <w:smallCaps/>
      <w:color w:val="0F4761" w:themeColor="accent1" w:themeShade="BF"/>
      <w:spacing w:val="5"/>
    </w:rPr>
  </w:style>
  <w:style w:type="paragraph" w:styleId="Pieddepage">
    <w:name w:val="footer"/>
    <w:basedOn w:val="Normal"/>
    <w:link w:val="PieddepageCar"/>
    <w:uiPriority w:val="99"/>
    <w:unhideWhenUsed/>
    <w:rsid w:val="006F7996"/>
    <w:pPr>
      <w:tabs>
        <w:tab w:val="center" w:pos="4320"/>
        <w:tab w:val="right" w:pos="8640"/>
      </w:tabs>
    </w:pPr>
    <w:rPr>
      <w:rFonts w:asciiTheme="minorHAnsi" w:eastAsiaTheme="minorHAnsi" w:hAnsiTheme="minorHAnsi" w:cstheme="minorBidi"/>
      <w:kern w:val="2"/>
      <w:lang w:eastAsia="en-US"/>
      <w14:ligatures w14:val="standardContextual"/>
    </w:rPr>
  </w:style>
  <w:style w:type="character" w:customStyle="1" w:styleId="PieddepageCar">
    <w:name w:val="Pied de page Car"/>
    <w:basedOn w:val="Policepardfaut"/>
    <w:link w:val="Pieddepage"/>
    <w:uiPriority w:val="99"/>
    <w:rsid w:val="006F7996"/>
  </w:style>
  <w:style w:type="character" w:styleId="Numrodepage">
    <w:name w:val="page number"/>
    <w:basedOn w:val="Policepardfaut"/>
    <w:uiPriority w:val="99"/>
    <w:semiHidden/>
    <w:unhideWhenUsed/>
    <w:rsid w:val="006F7996"/>
  </w:style>
  <w:style w:type="character" w:styleId="Hyperlien">
    <w:name w:val="Hyperlink"/>
    <w:basedOn w:val="Policepardfaut"/>
    <w:uiPriority w:val="99"/>
    <w:unhideWhenUsed/>
    <w:rsid w:val="006F7996"/>
    <w:rPr>
      <w:color w:val="467886" w:themeColor="hyperlink"/>
      <w:u w:val="single"/>
    </w:rPr>
  </w:style>
  <w:style w:type="paragraph" w:customStyle="1" w:styleId="p1">
    <w:name w:val="p1"/>
    <w:basedOn w:val="Normal"/>
    <w:rsid w:val="006F7996"/>
    <w:rPr>
      <w:rFonts w:ascii="Arial" w:hAnsi="Arial" w:cs="Arial"/>
      <w:color w:val="000000"/>
      <w:sz w:val="15"/>
      <w:szCs w:val="15"/>
    </w:rPr>
  </w:style>
  <w:style w:type="character" w:customStyle="1" w:styleId="s1">
    <w:name w:val="s1"/>
    <w:basedOn w:val="Policepardfaut"/>
    <w:rsid w:val="006F7996"/>
    <w:rPr>
      <w:rFonts w:ascii="Arial" w:hAnsi="Arial" w:cs="Arial" w:hint="default"/>
      <w:sz w:val="12"/>
      <w:szCs w:val="12"/>
    </w:rPr>
  </w:style>
  <w:style w:type="character" w:styleId="Accentuation">
    <w:name w:val="Emphasis"/>
    <w:basedOn w:val="Policepardfaut"/>
    <w:uiPriority w:val="20"/>
    <w:qFormat/>
    <w:rsid w:val="006F7996"/>
    <w:rPr>
      <w:i/>
      <w:iCs/>
    </w:rPr>
  </w:style>
  <w:style w:type="character" w:customStyle="1" w:styleId="apple-converted-space">
    <w:name w:val="apple-converted-space"/>
    <w:basedOn w:val="Policepardfaut"/>
    <w:rsid w:val="006F7996"/>
  </w:style>
  <w:style w:type="paragraph" w:styleId="NormalWeb">
    <w:name w:val="Normal (Web)"/>
    <w:basedOn w:val="Normal"/>
    <w:uiPriority w:val="99"/>
    <w:unhideWhenUsed/>
    <w:rsid w:val="006F7996"/>
    <w:pPr>
      <w:spacing w:before="100" w:beforeAutospacing="1" w:after="100" w:afterAutospacing="1"/>
    </w:pPr>
  </w:style>
  <w:style w:type="paragraph" w:customStyle="1" w:styleId="p2">
    <w:name w:val="p2"/>
    <w:basedOn w:val="Normal"/>
    <w:rsid w:val="00582C77"/>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7202/1113798ar" TargetMode="External"/><Relationship Id="rId13" Type="http://schemas.openxmlformats.org/officeDocument/2006/relationships/hyperlink" Target="https://www.inspq.qc.ca/violence-sexuelle/legislation/cadre-legal"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alloprof.qc.ca/" TargetMode="External"/><Relationship Id="rId12" Type="http://schemas.openxmlformats.org/officeDocument/2006/relationships/hyperlink" Target="https://www.lapresse.ca/actualites/education/2022-05-20/l-ecole-robert-gravel-adopte-un-code-vestimentaire-non-genre.php" TargetMode="External"/><Relationship Id="rId17" Type="http://schemas.openxmlformats.org/officeDocument/2006/relationships/hyperlink" Target="https://doi.org/10.1177/0044118X09333663" TargetMode="External"/><Relationship Id="rId2" Type="http://schemas.openxmlformats.org/officeDocument/2006/relationships/styles" Target="styles.xml"/><Relationship Id="rId16" Type="http://schemas.openxmlformats.org/officeDocument/2006/relationships/hyperlink" Target="https://www.unwomen.org/fr/news/stories/2019/11/compilation-ways-you-can-stand-against-rape-cultur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lapresse.ca/actualites/education/2022-05-17/ecole-" TargetMode="External"/><Relationship Id="rId5" Type="http://schemas.openxmlformats.org/officeDocument/2006/relationships/footnotes" Target="footnotes.xml"/><Relationship Id="rId15" Type="http://schemas.openxmlformats.org/officeDocument/2006/relationships/hyperlink" Target="https://doi.org/10.7202/043347ar" TargetMode="External"/><Relationship Id="rId10" Type="http://schemas.openxmlformats.org/officeDocument/2006/relationships/hyperlink" Target="https://doi.org/10.7202/1114142ar"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cdpdj.qc.ca/Publications/codes_vestimentaires.pdf" TargetMode="External"/><Relationship Id="rId14" Type="http://schemas.openxmlformats.org/officeDocument/2006/relationships/hyperlink" Target="https://doi.org/10.7202/1007759a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C888BD-5B65-4E4D-926A-F187F2425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29</Pages>
  <Words>9153</Words>
  <Characters>56389</Characters>
  <Application>Microsoft Office Word</Application>
  <DocSecurity>0</DocSecurity>
  <Lines>924</Lines>
  <Paragraphs>209</Paragraphs>
  <ScaleCrop>false</ScaleCrop>
  <Company/>
  <LinksUpToDate>false</LinksUpToDate>
  <CharactersWithSpaces>65333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Karine Lamy</dc:creator>
  <cp:keywords/>
  <dc:description/>
  <cp:lastModifiedBy>Karine Lamy</cp:lastModifiedBy>
  <cp:revision>109</cp:revision>
  <cp:lastPrinted>2025-12-19T13:19:00Z</cp:lastPrinted>
  <dcterms:created xsi:type="dcterms:W3CDTF">2025-12-16T16:34:00Z</dcterms:created>
  <dcterms:modified xsi:type="dcterms:W3CDTF">2025-12-19T13:55:00Z</dcterms:modified>
</cp:coreProperties>
</file>